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F98A6" w14:textId="77777777" w:rsidR="00AF4AF4" w:rsidRDefault="00AF4AF4" w:rsidP="005F0271">
      <w:pPr>
        <w:jc w:val="center"/>
        <w:rPr>
          <w:b/>
          <w:bCs/>
          <w:sz w:val="26"/>
          <w:szCs w:val="26"/>
          <w:rtl/>
        </w:rPr>
      </w:pPr>
      <w:r>
        <w:rPr>
          <w:noProof/>
        </w:rPr>
        <w:drawing>
          <wp:inline distT="0" distB="0" distL="0" distR="0" wp14:anchorId="2763DD1B" wp14:editId="3D26103A">
            <wp:extent cx="509905" cy="624205"/>
            <wp:effectExtent l="0" t="0" r="4445" b="4445"/>
            <wp:docPr id="2" name="תמונה 1" descr="סמל המדינה"/>
            <wp:cNvGraphicFramePr/>
            <a:graphic xmlns:a="http://schemas.openxmlformats.org/drawingml/2006/main">
              <a:graphicData uri="http://schemas.openxmlformats.org/drawingml/2006/picture">
                <pic:pic xmlns:pic="http://schemas.openxmlformats.org/drawingml/2006/picture">
                  <pic:nvPicPr>
                    <pic:cNvPr id="1" name="תמונה 1" descr="סמל המדינה"/>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905" cy="624205"/>
                    </a:xfrm>
                    <a:prstGeom prst="rect">
                      <a:avLst/>
                    </a:prstGeom>
                    <a:noFill/>
                    <a:ln>
                      <a:noFill/>
                    </a:ln>
                  </pic:spPr>
                </pic:pic>
              </a:graphicData>
            </a:graphic>
          </wp:inline>
        </w:drawing>
      </w:r>
    </w:p>
    <w:p w14:paraId="4FE01D87" w14:textId="77777777" w:rsidR="00AF4AF4" w:rsidRDefault="00AF4AF4" w:rsidP="005F0271">
      <w:pPr>
        <w:rPr>
          <w:b/>
          <w:bCs/>
          <w:sz w:val="26"/>
          <w:szCs w:val="26"/>
          <w:rtl/>
        </w:rPr>
      </w:pPr>
      <w:r w:rsidRPr="00CB5068">
        <w:rPr>
          <w:b/>
          <w:bCs/>
          <w:sz w:val="26"/>
          <w:szCs w:val="26"/>
          <w:rtl/>
        </w:rPr>
        <w:t>תוכן עניינים</w:t>
      </w:r>
    </w:p>
    <w:p w14:paraId="29510DA3" w14:textId="3E71BB4E" w:rsidR="00232075" w:rsidRDefault="00D54250">
      <w:pPr>
        <w:pStyle w:val="TOC1"/>
        <w:rPr>
          <w:rFonts w:asciiTheme="minorHAnsi" w:eastAsiaTheme="minorEastAsia" w:hAnsiTheme="minorHAnsi" w:cstheme="minorBidi"/>
          <w:bCs w:val="0"/>
          <w:noProof/>
          <w:sz w:val="22"/>
          <w:rtl/>
        </w:rPr>
      </w:pPr>
      <w:r>
        <w:rPr>
          <w:rtl/>
        </w:rPr>
        <w:fldChar w:fldCharType="begin"/>
      </w:r>
      <w:r>
        <w:rPr>
          <w:rtl/>
        </w:rPr>
        <w:instrText xml:space="preserve"> </w:instrText>
      </w:r>
      <w:r>
        <w:instrText>TOC</w:instrText>
      </w:r>
      <w:r>
        <w:rPr>
          <w:rtl/>
        </w:rPr>
        <w:instrText xml:space="preserve"> \</w:instrText>
      </w:r>
      <w:r>
        <w:instrText>o "1-9" \h \z \t "Table SideHeading,3,Table Head,2,Head HatzaotHok,1,Head DivreiHesber,2,Head HatzaotHok4Futer,1</w:instrText>
      </w:r>
      <w:r>
        <w:rPr>
          <w:rtl/>
        </w:rPr>
        <w:instrText xml:space="preserve">" </w:instrText>
      </w:r>
      <w:r>
        <w:rPr>
          <w:rtl/>
        </w:rPr>
        <w:fldChar w:fldCharType="separate"/>
      </w:r>
      <w:hyperlink w:anchor="_Toc72401330" w:history="1">
        <w:r w:rsidR="00232075" w:rsidRPr="007A7F6B">
          <w:rPr>
            <w:rStyle w:val="Hyperlink"/>
            <w:noProof/>
            <w:rtl/>
          </w:rPr>
          <w:t>טיוטת כללים</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Toc72401330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2</w:t>
        </w:r>
        <w:r w:rsidR="00232075">
          <w:rPr>
            <w:rStyle w:val="Hyperlink"/>
            <w:noProof/>
            <w:rtl/>
          </w:rPr>
          <w:fldChar w:fldCharType="end"/>
        </w:r>
      </w:hyperlink>
    </w:p>
    <w:p w14:paraId="2584DD5D" w14:textId="45A5320E" w:rsidR="00232075" w:rsidRDefault="00523D59">
      <w:pPr>
        <w:pStyle w:val="TOC4"/>
        <w:rPr>
          <w:rFonts w:cstheme="minorBidi"/>
          <w:rtl/>
        </w:rPr>
      </w:pPr>
      <w:hyperlink w:anchor="_Toc72401331" w:history="1">
        <w:r w:rsidR="00232075" w:rsidRPr="007A7F6B">
          <w:rPr>
            <w:rStyle w:val="Hyperlink"/>
            <w:rtl/>
          </w:rPr>
          <w:t>א. שם הכללים המוצעים</w:t>
        </w:r>
        <w:r w:rsidR="00232075">
          <w:rPr>
            <w:webHidden/>
            <w:rtl/>
          </w:rPr>
          <w:tab/>
        </w:r>
        <w:r w:rsidR="00232075">
          <w:rPr>
            <w:rStyle w:val="Hyperlink"/>
            <w:rtl/>
          </w:rPr>
          <w:fldChar w:fldCharType="begin"/>
        </w:r>
        <w:r w:rsidR="00232075">
          <w:rPr>
            <w:webHidden/>
            <w:rtl/>
          </w:rPr>
          <w:instrText xml:space="preserve"> </w:instrText>
        </w:r>
        <w:r w:rsidR="00232075">
          <w:rPr>
            <w:webHidden/>
          </w:rPr>
          <w:instrText>PAGEREF</w:instrText>
        </w:r>
        <w:r w:rsidR="00232075">
          <w:rPr>
            <w:webHidden/>
            <w:rtl/>
          </w:rPr>
          <w:instrText xml:space="preserve"> _</w:instrText>
        </w:r>
        <w:r w:rsidR="00232075">
          <w:rPr>
            <w:webHidden/>
          </w:rPr>
          <w:instrText>Toc72401331 \h</w:instrText>
        </w:r>
        <w:r w:rsidR="00232075">
          <w:rPr>
            <w:webHidden/>
            <w:rtl/>
          </w:rPr>
          <w:instrText xml:space="preserve"> </w:instrText>
        </w:r>
        <w:r w:rsidR="00232075">
          <w:rPr>
            <w:rStyle w:val="Hyperlink"/>
            <w:rtl/>
          </w:rPr>
        </w:r>
        <w:r w:rsidR="00232075">
          <w:rPr>
            <w:rStyle w:val="Hyperlink"/>
            <w:rtl/>
          </w:rPr>
          <w:fldChar w:fldCharType="separate"/>
        </w:r>
        <w:r w:rsidR="00232075">
          <w:rPr>
            <w:webHidden/>
            <w:rtl/>
          </w:rPr>
          <w:t>2</w:t>
        </w:r>
        <w:r w:rsidR="00232075">
          <w:rPr>
            <w:rStyle w:val="Hyperlink"/>
            <w:rtl/>
          </w:rPr>
          <w:fldChar w:fldCharType="end"/>
        </w:r>
      </w:hyperlink>
    </w:p>
    <w:p w14:paraId="752D06A2" w14:textId="08CCB52C" w:rsidR="00232075" w:rsidRDefault="00523D59">
      <w:pPr>
        <w:pStyle w:val="TOC4"/>
        <w:rPr>
          <w:rFonts w:cstheme="minorBidi"/>
          <w:rtl/>
        </w:rPr>
      </w:pPr>
      <w:hyperlink w:anchor="_Toc72401332" w:history="1">
        <w:r w:rsidR="00232075" w:rsidRPr="007A7F6B">
          <w:rPr>
            <w:rStyle w:val="Hyperlink"/>
            <w:rtl/>
          </w:rPr>
          <w:t>ב. מטרת הכללים המוצעים והצורך בהם</w:t>
        </w:r>
        <w:r w:rsidR="00232075">
          <w:rPr>
            <w:webHidden/>
            <w:rtl/>
          </w:rPr>
          <w:tab/>
        </w:r>
        <w:r w:rsidR="00232075">
          <w:rPr>
            <w:rStyle w:val="Hyperlink"/>
            <w:rtl/>
          </w:rPr>
          <w:fldChar w:fldCharType="begin"/>
        </w:r>
        <w:r w:rsidR="00232075">
          <w:rPr>
            <w:webHidden/>
            <w:rtl/>
          </w:rPr>
          <w:instrText xml:space="preserve"> </w:instrText>
        </w:r>
        <w:r w:rsidR="00232075">
          <w:rPr>
            <w:webHidden/>
          </w:rPr>
          <w:instrText>PAGEREF</w:instrText>
        </w:r>
        <w:r w:rsidR="00232075">
          <w:rPr>
            <w:webHidden/>
            <w:rtl/>
          </w:rPr>
          <w:instrText xml:space="preserve"> _</w:instrText>
        </w:r>
        <w:r w:rsidR="00232075">
          <w:rPr>
            <w:webHidden/>
          </w:rPr>
          <w:instrText>Toc72401332 \h</w:instrText>
        </w:r>
        <w:r w:rsidR="00232075">
          <w:rPr>
            <w:webHidden/>
            <w:rtl/>
          </w:rPr>
          <w:instrText xml:space="preserve"> </w:instrText>
        </w:r>
        <w:r w:rsidR="00232075">
          <w:rPr>
            <w:rStyle w:val="Hyperlink"/>
            <w:rtl/>
          </w:rPr>
        </w:r>
        <w:r w:rsidR="00232075">
          <w:rPr>
            <w:rStyle w:val="Hyperlink"/>
            <w:rtl/>
          </w:rPr>
          <w:fldChar w:fldCharType="separate"/>
        </w:r>
        <w:r w:rsidR="00232075">
          <w:rPr>
            <w:webHidden/>
            <w:rtl/>
          </w:rPr>
          <w:t>2</w:t>
        </w:r>
        <w:r w:rsidR="00232075">
          <w:rPr>
            <w:rStyle w:val="Hyperlink"/>
            <w:rtl/>
          </w:rPr>
          <w:fldChar w:fldCharType="end"/>
        </w:r>
      </w:hyperlink>
    </w:p>
    <w:p w14:paraId="5B646A7D" w14:textId="7EBC9051" w:rsidR="00232075" w:rsidRDefault="00523D59">
      <w:pPr>
        <w:pStyle w:val="TOC4"/>
        <w:rPr>
          <w:rFonts w:cstheme="minorBidi"/>
          <w:rtl/>
        </w:rPr>
      </w:pPr>
      <w:hyperlink w:anchor="_Toc72401333" w:history="1">
        <w:r w:rsidR="00232075" w:rsidRPr="007A7F6B">
          <w:rPr>
            <w:rStyle w:val="Hyperlink"/>
            <w:rtl/>
          </w:rPr>
          <w:t>ג. להלן נוסח טיוטת הכללים המוצעים:</w:t>
        </w:r>
        <w:r w:rsidR="00232075">
          <w:rPr>
            <w:webHidden/>
            <w:rtl/>
          </w:rPr>
          <w:tab/>
        </w:r>
        <w:r w:rsidR="00232075">
          <w:rPr>
            <w:rStyle w:val="Hyperlink"/>
            <w:rtl/>
          </w:rPr>
          <w:fldChar w:fldCharType="begin"/>
        </w:r>
        <w:r w:rsidR="00232075">
          <w:rPr>
            <w:webHidden/>
            <w:rtl/>
          </w:rPr>
          <w:instrText xml:space="preserve"> </w:instrText>
        </w:r>
        <w:r w:rsidR="00232075">
          <w:rPr>
            <w:webHidden/>
          </w:rPr>
          <w:instrText>PAGEREF</w:instrText>
        </w:r>
        <w:r w:rsidR="00232075">
          <w:rPr>
            <w:webHidden/>
            <w:rtl/>
          </w:rPr>
          <w:instrText xml:space="preserve"> _</w:instrText>
        </w:r>
        <w:r w:rsidR="00232075">
          <w:rPr>
            <w:webHidden/>
          </w:rPr>
          <w:instrText>Toc72401333 \h</w:instrText>
        </w:r>
        <w:r w:rsidR="00232075">
          <w:rPr>
            <w:webHidden/>
            <w:rtl/>
          </w:rPr>
          <w:instrText xml:space="preserve"> </w:instrText>
        </w:r>
        <w:r w:rsidR="00232075">
          <w:rPr>
            <w:rStyle w:val="Hyperlink"/>
            <w:rtl/>
          </w:rPr>
        </w:r>
        <w:r w:rsidR="00232075">
          <w:rPr>
            <w:rStyle w:val="Hyperlink"/>
            <w:rtl/>
          </w:rPr>
          <w:fldChar w:fldCharType="separate"/>
        </w:r>
        <w:r w:rsidR="00232075">
          <w:rPr>
            <w:webHidden/>
            <w:rtl/>
          </w:rPr>
          <w:t>3</w:t>
        </w:r>
        <w:r w:rsidR="00232075">
          <w:rPr>
            <w:rStyle w:val="Hyperlink"/>
            <w:rtl/>
          </w:rPr>
          <w:fldChar w:fldCharType="end"/>
        </w:r>
      </w:hyperlink>
    </w:p>
    <w:p w14:paraId="36561E25" w14:textId="1B72E884" w:rsidR="00232075" w:rsidRDefault="00523D59">
      <w:pPr>
        <w:pStyle w:val="TOC1"/>
        <w:rPr>
          <w:rFonts w:asciiTheme="minorHAnsi" w:eastAsiaTheme="minorEastAsia" w:hAnsiTheme="minorHAnsi" w:cstheme="minorBidi"/>
          <w:bCs w:val="0"/>
          <w:noProof/>
          <w:sz w:val="22"/>
          <w:rtl/>
        </w:rPr>
      </w:pPr>
      <w:hyperlink w:anchor="_Toc72401334" w:history="1">
        <w:r w:rsidR="00232075" w:rsidRPr="007A7F6B">
          <w:rPr>
            <w:rStyle w:val="Hyperlink"/>
            <w:noProof/>
            <w:rtl/>
          </w:rPr>
          <w:t>טיוטת כללי ההגבלים העסקיים (פטור סוג למיזמים משותפים) (הוראת שעה) (תיקון), התשפ"א-2021</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Toc72401334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20CF3807" w14:textId="32815ECF" w:rsidR="00232075" w:rsidRDefault="00523D59">
      <w:pPr>
        <w:pStyle w:val="TOC3"/>
        <w:rPr>
          <w:rFonts w:asciiTheme="minorHAnsi" w:eastAsiaTheme="minorEastAsia" w:hAnsiTheme="minorHAnsi" w:cstheme="minorBidi"/>
          <w:noProof/>
          <w:sz w:val="22"/>
          <w:rtl/>
        </w:rPr>
      </w:pPr>
      <w:hyperlink w:anchor="_Toc72401335" w:history="1">
        <w:r w:rsidR="00232075" w:rsidRPr="007A7F6B">
          <w:rPr>
            <w:rStyle w:val="Hyperlink"/>
            <w:noProof/>
            <w:rtl/>
          </w:rPr>
          <w:t>תיקון השם</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Toc72401335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48A51C11" w14:textId="06602C93" w:rsidR="00232075" w:rsidRDefault="00523D59">
      <w:pPr>
        <w:pStyle w:val="TOC3"/>
        <w:rPr>
          <w:rFonts w:asciiTheme="minorHAnsi" w:eastAsiaTheme="minorEastAsia" w:hAnsiTheme="minorHAnsi" w:cstheme="minorBidi"/>
          <w:noProof/>
          <w:sz w:val="22"/>
          <w:rtl/>
        </w:rPr>
      </w:pPr>
      <w:hyperlink w:anchor="_Toc72401336" w:history="1">
        <w:r w:rsidR="00232075" w:rsidRPr="007A7F6B">
          <w:rPr>
            <w:rStyle w:val="Hyperlink"/>
            <w:noProof/>
            <w:rtl/>
          </w:rPr>
          <w:t>תיקון הפתיח</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Toc72401336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01328282" w14:textId="2D9B3321" w:rsidR="00232075" w:rsidRDefault="00523D59">
      <w:pPr>
        <w:pStyle w:val="TOC3"/>
        <w:rPr>
          <w:rFonts w:asciiTheme="minorHAnsi" w:eastAsiaTheme="minorEastAsia" w:hAnsiTheme="minorHAnsi" w:cstheme="minorBidi"/>
          <w:noProof/>
          <w:sz w:val="22"/>
          <w:rtl/>
        </w:rPr>
      </w:pPr>
      <w:hyperlink w:anchor="_Toc72401337" w:history="1">
        <w:r w:rsidR="00232075" w:rsidRPr="007A7F6B">
          <w:rPr>
            <w:rStyle w:val="Hyperlink"/>
            <w:noProof/>
            <w:rtl/>
          </w:rPr>
          <w:t>תיקון סעיף 1</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Toc72401337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09C56FE6" w14:textId="68FCDC4C" w:rsidR="00232075" w:rsidRDefault="00523D59">
      <w:pPr>
        <w:pStyle w:val="TOC3"/>
        <w:rPr>
          <w:rFonts w:asciiTheme="minorHAnsi" w:eastAsiaTheme="minorEastAsia" w:hAnsiTheme="minorHAnsi" w:cstheme="minorBidi"/>
          <w:noProof/>
          <w:sz w:val="22"/>
          <w:rtl/>
        </w:rPr>
      </w:pPr>
      <w:hyperlink w:anchor="_Toc72401338" w:history="1">
        <w:r w:rsidR="00232075" w:rsidRPr="007A7F6B">
          <w:rPr>
            <w:rStyle w:val="Hyperlink"/>
            <w:noProof/>
            <w:rtl/>
          </w:rPr>
          <w:t>תיקון סעיף 2</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Toc72401338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766286A5" w14:textId="0A92744B" w:rsidR="00232075" w:rsidRDefault="00523D59">
      <w:pPr>
        <w:pStyle w:val="TOC3"/>
        <w:rPr>
          <w:rFonts w:asciiTheme="minorHAnsi" w:eastAsiaTheme="minorEastAsia" w:hAnsiTheme="minorHAnsi" w:cstheme="minorBidi"/>
          <w:noProof/>
          <w:sz w:val="22"/>
          <w:rtl/>
        </w:rPr>
      </w:pPr>
      <w:hyperlink w:anchor="_Toc72401339" w:history="1">
        <w:r w:rsidR="00232075" w:rsidRPr="007A7F6B">
          <w:rPr>
            <w:rStyle w:val="Hyperlink"/>
            <w:noProof/>
            <w:rtl/>
          </w:rPr>
          <w:t>תיקון סעיף 2</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Toc72401339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3CD46735" w14:textId="57734C07" w:rsidR="00232075" w:rsidRDefault="00523D59">
      <w:pPr>
        <w:pStyle w:val="TOC3"/>
        <w:rPr>
          <w:rFonts w:asciiTheme="minorHAnsi" w:eastAsiaTheme="minorEastAsia" w:hAnsiTheme="minorHAnsi" w:cstheme="minorBidi"/>
          <w:noProof/>
          <w:sz w:val="22"/>
          <w:rtl/>
        </w:rPr>
      </w:pPr>
      <w:hyperlink w:anchor="_Toc72401340" w:history="1">
        <w:r w:rsidR="00232075" w:rsidRPr="007A7F6B">
          <w:rPr>
            <w:rStyle w:val="Hyperlink"/>
            <w:noProof/>
            <w:rtl/>
          </w:rPr>
          <w:t>תיקון סעיף 3</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Toc72401340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3B8836D8" w14:textId="37AE6C74" w:rsidR="00232075" w:rsidRDefault="00523D59">
      <w:pPr>
        <w:pStyle w:val="TOC3"/>
        <w:rPr>
          <w:rFonts w:asciiTheme="minorHAnsi" w:eastAsiaTheme="minorEastAsia" w:hAnsiTheme="minorHAnsi" w:cstheme="minorBidi"/>
          <w:noProof/>
          <w:sz w:val="22"/>
          <w:rtl/>
        </w:rPr>
      </w:pPr>
      <w:hyperlink w:anchor="_Toc72401341" w:history="1">
        <w:r w:rsidR="00232075" w:rsidRPr="007A7F6B">
          <w:rPr>
            <w:rStyle w:val="Hyperlink"/>
            <w:noProof/>
            <w:rtl/>
          </w:rPr>
          <w:t>תיקון סעיף 4</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Toc72401341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73ACC718" w14:textId="694D80EB" w:rsidR="00232075" w:rsidRDefault="00523D59">
      <w:pPr>
        <w:pStyle w:val="TOC3"/>
        <w:rPr>
          <w:rFonts w:asciiTheme="minorHAnsi" w:eastAsiaTheme="minorEastAsia" w:hAnsiTheme="minorHAnsi" w:cstheme="minorBidi"/>
          <w:noProof/>
          <w:sz w:val="22"/>
          <w:rtl/>
        </w:rPr>
      </w:pPr>
      <w:hyperlink w:anchor="_Toc72401342" w:history="1">
        <w:r w:rsidR="00232075" w:rsidRPr="007A7F6B">
          <w:rPr>
            <w:rStyle w:val="Hyperlink"/>
            <w:noProof/>
            <w:rtl/>
          </w:rPr>
          <w:t>תיקון סעיף 9א</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Toc72401342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465EE0A0" w14:textId="371F0D6A" w:rsidR="00232075" w:rsidRDefault="00523D59">
      <w:pPr>
        <w:pStyle w:val="TOC3"/>
        <w:rPr>
          <w:rFonts w:asciiTheme="minorHAnsi" w:eastAsiaTheme="minorEastAsia" w:hAnsiTheme="minorHAnsi" w:cstheme="minorBidi"/>
          <w:noProof/>
          <w:sz w:val="22"/>
          <w:rtl/>
        </w:rPr>
      </w:pPr>
      <w:hyperlink w:anchor="_Toc72401343" w:history="1">
        <w:r w:rsidR="00232075" w:rsidRPr="007A7F6B">
          <w:rPr>
            <w:rStyle w:val="Hyperlink"/>
            <w:noProof/>
            <w:rtl/>
          </w:rPr>
          <w:t>תחילה</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Toc72401343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40DC2C2C" w14:textId="6F4A514E" w:rsidR="00232075" w:rsidRDefault="00523D59">
      <w:pPr>
        <w:pStyle w:val="TOC3"/>
        <w:rPr>
          <w:rFonts w:asciiTheme="minorHAnsi" w:eastAsiaTheme="minorEastAsia" w:hAnsiTheme="minorHAnsi" w:cstheme="minorBidi"/>
          <w:noProof/>
          <w:sz w:val="22"/>
          <w:rtl/>
        </w:rPr>
      </w:pPr>
      <w:hyperlink w:anchor="_Toc72401344" w:history="1">
        <w:r w:rsidR="00232075" w:rsidRPr="007A7F6B">
          <w:rPr>
            <w:rStyle w:val="Hyperlink"/>
            <w:noProof/>
            <w:rtl/>
          </w:rPr>
          <w:t>תוקף</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Toc72401344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4</w:t>
        </w:r>
        <w:r w:rsidR="00232075">
          <w:rPr>
            <w:rStyle w:val="Hyperlink"/>
            <w:noProof/>
            <w:rtl/>
          </w:rPr>
          <w:fldChar w:fldCharType="end"/>
        </w:r>
      </w:hyperlink>
    </w:p>
    <w:p w14:paraId="599769DA" w14:textId="5D379546" w:rsidR="00232075" w:rsidRDefault="00523D59">
      <w:pPr>
        <w:pStyle w:val="TOC2"/>
        <w:rPr>
          <w:rFonts w:asciiTheme="minorHAnsi" w:eastAsiaTheme="minorEastAsia" w:hAnsiTheme="minorHAnsi" w:cstheme="minorBidi"/>
          <w:noProof/>
          <w:sz w:val="22"/>
          <w:rtl/>
        </w:rPr>
      </w:pPr>
      <w:hyperlink w:anchor="_Toc72401345" w:history="1">
        <w:r w:rsidR="00232075" w:rsidRPr="007A7F6B">
          <w:rPr>
            <w:rStyle w:val="Hyperlink"/>
            <w:noProof/>
            <w:rtl/>
          </w:rPr>
          <w:t>דברי הסבר</w:t>
        </w:r>
        <w:r w:rsidR="00232075">
          <w:rPr>
            <w:noProof/>
            <w:webHidden/>
            <w:rtl/>
          </w:rPr>
          <w:tab/>
        </w:r>
        <w:r w:rsidR="00232075">
          <w:rPr>
            <w:rStyle w:val="Hyperlink"/>
            <w:noProof/>
            <w:rtl/>
          </w:rPr>
          <w:fldChar w:fldCharType="begin"/>
        </w:r>
        <w:r w:rsidR="00232075">
          <w:rPr>
            <w:noProof/>
            <w:webHidden/>
            <w:rtl/>
          </w:rPr>
          <w:instrText xml:space="preserve"> </w:instrText>
        </w:r>
        <w:r w:rsidR="00232075">
          <w:rPr>
            <w:noProof/>
            <w:webHidden/>
          </w:rPr>
          <w:instrText>PAGEREF</w:instrText>
        </w:r>
        <w:r w:rsidR="00232075">
          <w:rPr>
            <w:noProof/>
            <w:webHidden/>
            <w:rtl/>
          </w:rPr>
          <w:instrText xml:space="preserve"> _</w:instrText>
        </w:r>
        <w:r w:rsidR="00232075">
          <w:rPr>
            <w:noProof/>
            <w:webHidden/>
          </w:rPr>
          <w:instrText>Toc72401345 \h</w:instrText>
        </w:r>
        <w:r w:rsidR="00232075">
          <w:rPr>
            <w:noProof/>
            <w:webHidden/>
            <w:rtl/>
          </w:rPr>
          <w:instrText xml:space="preserve"> </w:instrText>
        </w:r>
        <w:r w:rsidR="00232075">
          <w:rPr>
            <w:rStyle w:val="Hyperlink"/>
            <w:noProof/>
            <w:rtl/>
          </w:rPr>
        </w:r>
        <w:r w:rsidR="00232075">
          <w:rPr>
            <w:rStyle w:val="Hyperlink"/>
            <w:noProof/>
            <w:rtl/>
          </w:rPr>
          <w:fldChar w:fldCharType="separate"/>
        </w:r>
        <w:r w:rsidR="00232075">
          <w:rPr>
            <w:noProof/>
            <w:webHidden/>
            <w:rtl/>
          </w:rPr>
          <w:t>5</w:t>
        </w:r>
        <w:r w:rsidR="00232075">
          <w:rPr>
            <w:rStyle w:val="Hyperlink"/>
            <w:noProof/>
            <w:rtl/>
          </w:rPr>
          <w:fldChar w:fldCharType="end"/>
        </w:r>
      </w:hyperlink>
    </w:p>
    <w:p w14:paraId="0C334ED4" w14:textId="0B5D6D91" w:rsidR="00AF4AF4" w:rsidRDefault="00D54250" w:rsidP="00D54250">
      <w:pPr>
        <w:rPr>
          <w:snapToGrid w:val="0"/>
          <w:rtl/>
        </w:rPr>
      </w:pPr>
      <w:r>
        <w:rPr>
          <w:rtl/>
        </w:rPr>
        <w:fldChar w:fldCharType="end"/>
      </w:r>
      <w:r w:rsidR="00AF4AF4">
        <w:rPr>
          <w:rtl/>
        </w:rPr>
        <w:br w:type="page"/>
      </w:r>
    </w:p>
    <w:p w14:paraId="3D5FBC6E" w14:textId="77777777" w:rsidR="003A35C0" w:rsidRDefault="003A35C0" w:rsidP="00307E94">
      <w:pPr>
        <w:pStyle w:val="Heading1"/>
        <w:keepNext w:val="0"/>
        <w:keepLines w:val="0"/>
      </w:pPr>
      <w:bookmarkStart w:id="0" w:name="_Toc61248052"/>
      <w:bookmarkStart w:id="1" w:name="_Toc61248071"/>
      <w:bookmarkStart w:id="2" w:name="_Toc71711523"/>
      <w:bookmarkStart w:id="3" w:name="_Toc71711544"/>
      <w:bookmarkStart w:id="4" w:name="_Toc71712129"/>
      <w:bookmarkStart w:id="5" w:name="_Toc71712150"/>
      <w:bookmarkStart w:id="6" w:name="_Toc71712162"/>
      <w:bookmarkStart w:id="7" w:name="_Toc71712183"/>
      <w:bookmarkStart w:id="8" w:name="_Toc72401330"/>
      <w:r>
        <w:rPr>
          <w:rtl/>
        </w:rPr>
        <w:lastRenderedPageBreak/>
        <w:t>טיוטת כללים</w:t>
      </w:r>
      <w:bookmarkEnd w:id="0"/>
      <w:bookmarkEnd w:id="1"/>
      <w:bookmarkEnd w:id="2"/>
      <w:bookmarkEnd w:id="3"/>
      <w:bookmarkEnd w:id="4"/>
      <w:bookmarkEnd w:id="5"/>
      <w:bookmarkEnd w:id="6"/>
      <w:bookmarkEnd w:id="7"/>
      <w:bookmarkEnd w:id="8"/>
    </w:p>
    <w:p w14:paraId="1CCC9870" w14:textId="77777777" w:rsidR="003A35C0" w:rsidRDefault="003A35C0" w:rsidP="00307E94">
      <w:pPr>
        <w:rPr>
          <w:rtl/>
        </w:rPr>
      </w:pPr>
    </w:p>
    <w:p w14:paraId="7000B74F" w14:textId="77777777" w:rsidR="003A35C0" w:rsidRDefault="003A35C0" w:rsidP="00F24A78">
      <w:pPr>
        <w:pStyle w:val="Heading4"/>
        <w:rPr>
          <w:rtl/>
        </w:rPr>
      </w:pPr>
      <w:bookmarkStart w:id="9" w:name="_Toc61248072"/>
      <w:bookmarkStart w:id="10" w:name="_Toc71711545"/>
      <w:bookmarkStart w:id="11" w:name="_Toc71712151"/>
      <w:bookmarkStart w:id="12" w:name="_Toc71712184"/>
      <w:bookmarkStart w:id="13" w:name="_Toc72401331"/>
      <w:r>
        <w:rPr>
          <w:rFonts w:hint="cs"/>
          <w:rtl/>
        </w:rPr>
        <w:t>שם הכללים המוצעים</w:t>
      </w:r>
      <w:bookmarkEnd w:id="9"/>
      <w:bookmarkEnd w:id="10"/>
      <w:bookmarkEnd w:id="11"/>
      <w:bookmarkEnd w:id="12"/>
      <w:bookmarkEnd w:id="13"/>
    </w:p>
    <w:p w14:paraId="66853B7F" w14:textId="372F796A" w:rsidR="003A35C0" w:rsidRDefault="009433F4" w:rsidP="00EF50AE">
      <w:bookmarkStart w:id="14" w:name="_GoBack"/>
      <w:r>
        <w:rPr>
          <w:rFonts w:hint="cs"/>
          <w:rtl/>
        </w:rPr>
        <w:t xml:space="preserve">כללי </w:t>
      </w:r>
      <w:r w:rsidR="00DA5591">
        <w:rPr>
          <w:rFonts w:hint="cs"/>
          <w:rtl/>
        </w:rPr>
        <w:t>התחרות הכלכלית</w:t>
      </w:r>
      <w:r>
        <w:rPr>
          <w:rFonts w:hint="cs"/>
          <w:rtl/>
        </w:rPr>
        <w:t xml:space="preserve"> </w:t>
      </w:r>
      <w:r w:rsidR="00EF50AE">
        <w:rPr>
          <w:rFonts w:hint="cs"/>
          <w:rtl/>
        </w:rPr>
        <w:t xml:space="preserve">(פטור סוג למיזמים משותפים) </w:t>
      </w:r>
      <w:r>
        <w:rPr>
          <w:rFonts w:hint="cs"/>
          <w:rtl/>
        </w:rPr>
        <w:t>(הוראת שעה)</w:t>
      </w:r>
      <w:r w:rsidR="002C287B">
        <w:rPr>
          <w:rFonts w:hint="cs"/>
          <w:rtl/>
        </w:rPr>
        <w:t xml:space="preserve"> (תיקון)</w:t>
      </w:r>
      <w:r>
        <w:rPr>
          <w:rFonts w:hint="cs"/>
          <w:rtl/>
        </w:rPr>
        <w:t>, התשפ"א-2021</w:t>
      </w:r>
      <w:bookmarkEnd w:id="14"/>
    </w:p>
    <w:p w14:paraId="1414B8F1" w14:textId="77777777" w:rsidR="003A35C0" w:rsidRPr="00B57606" w:rsidRDefault="003A35C0" w:rsidP="00307E94">
      <w:pPr>
        <w:rPr>
          <w:rFonts w:hint="cs"/>
          <w:rtl/>
        </w:rPr>
      </w:pPr>
    </w:p>
    <w:p w14:paraId="7A07A07B" w14:textId="77777777" w:rsidR="003A35C0" w:rsidRDefault="003A35C0" w:rsidP="009433F4">
      <w:pPr>
        <w:pStyle w:val="Heading4"/>
        <w:rPr>
          <w:rtl/>
        </w:rPr>
      </w:pPr>
      <w:bookmarkStart w:id="15" w:name="_Toc61248073"/>
      <w:bookmarkStart w:id="16" w:name="_Toc71711546"/>
      <w:bookmarkStart w:id="17" w:name="_Toc71712152"/>
      <w:bookmarkStart w:id="18" w:name="_Toc71712185"/>
      <w:bookmarkStart w:id="19" w:name="_Toc72401332"/>
      <w:r>
        <w:rPr>
          <w:rFonts w:hint="cs"/>
          <w:rtl/>
        </w:rPr>
        <w:t>מטרת הכללים המוצעים והצורך בהם</w:t>
      </w:r>
      <w:bookmarkEnd w:id="15"/>
      <w:bookmarkEnd w:id="16"/>
      <w:bookmarkEnd w:id="17"/>
      <w:bookmarkEnd w:id="18"/>
      <w:bookmarkEnd w:id="19"/>
      <w:r>
        <w:rPr>
          <w:rFonts w:hint="cs"/>
          <w:rtl/>
        </w:rPr>
        <w:t xml:space="preserve"> </w:t>
      </w:r>
    </w:p>
    <w:p w14:paraId="1378E235" w14:textId="77777777" w:rsidR="005D2AE5" w:rsidRDefault="005D2AE5" w:rsidP="005D2AE5">
      <w:pPr>
        <w:spacing w:before="100" w:beforeAutospacing="1" w:after="100" w:afterAutospacing="1"/>
        <w:rPr>
          <w:rFonts w:ascii="Arial" w:hAnsi="Arial"/>
          <w:sz w:val="22"/>
          <w:rtl/>
        </w:rPr>
      </w:pPr>
      <w:r>
        <w:rPr>
          <w:rFonts w:hint="cs"/>
          <w:rtl/>
        </w:rPr>
        <w:t xml:space="preserve">כללי התחרות הכלכלית (פטור סוג למיזמים משותפים) (הוראת שעה) (תיקון), התשפ"א-2021 מטמיעים מספר תיקונים בכללי ההגבלים העסקיים (פטור סוג למיזמים משותפים), תשס"ו-2006 (להלן </w:t>
      </w:r>
      <w:r>
        <w:rPr>
          <w:rFonts w:hint="cs"/>
          <w:b/>
          <w:bCs/>
          <w:rtl/>
        </w:rPr>
        <w:t>פטור הסוג</w:t>
      </w:r>
      <w:r w:rsidRPr="009A20C1">
        <w:rPr>
          <w:rFonts w:hint="cs"/>
          <w:rtl/>
        </w:rPr>
        <w:t>)</w:t>
      </w:r>
      <w:r>
        <w:rPr>
          <w:rFonts w:hint="cs"/>
          <w:rtl/>
        </w:rPr>
        <w:t xml:space="preserve">. </w:t>
      </w:r>
    </w:p>
    <w:p w14:paraId="1F8ACEFE" w14:textId="1BE9A760" w:rsidR="005D2AE5" w:rsidRDefault="005D2AE5" w:rsidP="00613920">
      <w:pPr>
        <w:rPr>
          <w:rtl/>
        </w:rPr>
      </w:pPr>
      <w:r>
        <w:rPr>
          <w:rFonts w:hint="cs"/>
          <w:rtl/>
        </w:rPr>
        <w:t xml:space="preserve">פטור הסוג קבוע בהתאם לסעיף 15א לחוק התחרות הכלכלית, התשמ"ח-1988 (להלן </w:t>
      </w:r>
      <w:r>
        <w:rPr>
          <w:rFonts w:hint="cs"/>
          <w:b/>
          <w:bCs/>
          <w:rtl/>
        </w:rPr>
        <w:t>החוק</w:t>
      </w:r>
      <w:r>
        <w:rPr>
          <w:rFonts w:hint="cs"/>
          <w:rtl/>
        </w:rPr>
        <w:t xml:space="preserve">). </w:t>
      </w:r>
      <w:r w:rsidRPr="008A0EBC">
        <w:rPr>
          <w:rtl/>
        </w:rPr>
        <w:t>מיזם משותף מוגדר בפטור הסוג בצורה כללית ורחבה כ"הסכם לשיתוף פעולה בייצור טובין, שיווקם או רכישתם". תחת הגדרה זו יכולה לחסות קשת רחבה של הסדרים, כמו הסדרים לייצור משותף של מוצר סופי או רכיב כלשהו בייצורו, הסדרים לרכש משותף של תשומה, וכ</w:t>
      </w:r>
      <w:r>
        <w:rPr>
          <w:rFonts w:hint="cs"/>
          <w:rtl/>
        </w:rPr>
        <w:t>ן</w:t>
      </w:r>
      <w:r w:rsidRPr="008A0EBC">
        <w:rPr>
          <w:rtl/>
        </w:rPr>
        <w:t xml:space="preserve"> הסדרים המייעלים תהליכ</w:t>
      </w:r>
      <w:r>
        <w:rPr>
          <w:rtl/>
        </w:rPr>
        <w:t>ים ומאפשרים לצדדים להם ל</w:t>
      </w:r>
      <w:r>
        <w:rPr>
          <w:rFonts w:hint="cs"/>
          <w:rtl/>
        </w:rPr>
        <w:t>י</w:t>
      </w:r>
      <w:r>
        <w:rPr>
          <w:rtl/>
        </w:rPr>
        <w:t>הנות</w:t>
      </w:r>
      <w:r w:rsidRPr="008A0EBC">
        <w:rPr>
          <w:rtl/>
        </w:rPr>
        <w:t xml:space="preserve"> מיתרונות לגודל ולמגוון ברכש חומרי גלם, ייצור המוצרים או אספקתם, </w:t>
      </w:r>
      <w:r>
        <w:rPr>
          <w:rFonts w:hint="cs"/>
          <w:rtl/>
        </w:rPr>
        <w:t>ללא מיזוג ביניהם</w:t>
      </w:r>
      <w:r w:rsidRPr="008A0EBC">
        <w:rPr>
          <w:rtl/>
        </w:rPr>
        <w:t>. מובן שגם איחוד פעולות במסגרת מיזם</w:t>
      </w:r>
      <w:r>
        <w:rPr>
          <w:rFonts w:hint="cs"/>
          <w:rtl/>
        </w:rPr>
        <w:t xml:space="preserve"> שאיננו עולה כדי מיזוג</w:t>
      </w:r>
      <w:r w:rsidRPr="008A0EBC">
        <w:rPr>
          <w:rtl/>
        </w:rPr>
        <w:t xml:space="preserve"> עלול </w:t>
      </w:r>
      <w:r w:rsidR="00005F31">
        <w:rPr>
          <w:rFonts w:hint="cs"/>
          <w:rtl/>
        </w:rPr>
        <w:t xml:space="preserve">במקרים רבים </w:t>
      </w:r>
      <w:r w:rsidRPr="008A0EBC">
        <w:rPr>
          <w:rtl/>
        </w:rPr>
        <w:t xml:space="preserve">להפחית את התחרות, </w:t>
      </w:r>
      <w:r>
        <w:rPr>
          <w:rFonts w:hint="cs"/>
          <w:rtl/>
        </w:rPr>
        <w:t>הן</w:t>
      </w:r>
      <w:r w:rsidRPr="008A0EBC">
        <w:rPr>
          <w:rtl/>
        </w:rPr>
        <w:t xml:space="preserve"> בין הצדדים</w:t>
      </w:r>
      <w:r>
        <w:rPr>
          <w:rFonts w:hint="cs"/>
          <w:rtl/>
        </w:rPr>
        <w:t xml:space="preserve"> למיזם, הן </w:t>
      </w:r>
      <w:r w:rsidRPr="008A0EBC">
        <w:rPr>
          <w:rtl/>
        </w:rPr>
        <w:t>בין אלה הקשורים בהם</w:t>
      </w:r>
      <w:r>
        <w:rPr>
          <w:rFonts w:hint="cs"/>
          <w:rtl/>
        </w:rPr>
        <w:t xml:space="preserve"> והן בין מי מהצדדים לבין מתחריו בשווקים השונים</w:t>
      </w:r>
      <w:r w:rsidRPr="008A0EBC">
        <w:rPr>
          <w:rtl/>
        </w:rPr>
        <w:t xml:space="preserve">. </w:t>
      </w:r>
      <w:r>
        <w:rPr>
          <w:rFonts w:hint="cs"/>
          <w:rtl/>
        </w:rPr>
        <w:t>לכן מיזם משותף כאמור יוכל לחסות תחת פטור הסוג אך ורק אם אין בו כדי לפגוע פגיעה משמעותית בתחרות, אם עיקרו איננו בהפחתת התחרות ואם אין בו כבילות שאינן נחוצות למימוש ע</w:t>
      </w:r>
      <w:r w:rsidR="00613920">
        <w:rPr>
          <w:rFonts w:hint="cs"/>
          <w:rtl/>
        </w:rPr>
        <w:t>י</w:t>
      </w:r>
      <w:r>
        <w:rPr>
          <w:rFonts w:hint="cs"/>
          <w:rtl/>
        </w:rPr>
        <w:t xml:space="preserve">קרו. </w:t>
      </w:r>
    </w:p>
    <w:p w14:paraId="2B33A18B" w14:textId="77777777" w:rsidR="005D2AE5" w:rsidRDefault="005D2AE5" w:rsidP="005D2AE5">
      <w:pPr>
        <w:spacing w:before="100" w:beforeAutospacing="1" w:after="100" w:afterAutospacing="1"/>
        <w:rPr>
          <w:rFonts w:ascii="Arial" w:hAnsi="Arial"/>
        </w:rPr>
      </w:pPr>
      <w:r>
        <w:rPr>
          <w:rFonts w:hint="cs"/>
          <w:rtl/>
        </w:rPr>
        <w:lastRenderedPageBreak/>
        <w:t>סעיפים 2-9 לפטור הסוג קובעים כללים הנוגעים לצדדים להסדר,</w:t>
      </w:r>
      <w:r>
        <w:rPr>
          <w:rStyle w:val="FootnoteReference"/>
          <w:rtl/>
        </w:rPr>
        <w:footnoteReference w:id="1"/>
      </w:r>
      <w:r>
        <w:rPr>
          <w:rFonts w:hint="cs"/>
          <w:rtl/>
        </w:rPr>
        <w:t xml:space="preserve"> לאופיו של השוק מושא המיזם,</w:t>
      </w:r>
      <w:r>
        <w:rPr>
          <w:rStyle w:val="FootnoteReference"/>
          <w:rtl/>
        </w:rPr>
        <w:footnoteReference w:id="2"/>
      </w:r>
      <w:r>
        <w:rPr>
          <w:rFonts w:hint="cs"/>
          <w:rtl/>
        </w:rPr>
        <w:t xml:space="preserve"> או לתנאים הכלולים במסגרת הסכם שיתוף הפעולה בין הצדדים.</w:t>
      </w:r>
      <w:r>
        <w:rPr>
          <w:rStyle w:val="FootnoteReference"/>
          <w:rtl/>
        </w:rPr>
        <w:footnoteReference w:id="3"/>
      </w:r>
      <w:r>
        <w:rPr>
          <w:rFonts w:hint="cs"/>
          <w:rtl/>
        </w:rPr>
        <w:t xml:space="preserve"> על פי פטור הסוג התקיימותם של כללים אלו בהסדר מלמדת כי בהסדר מתקיימים התנאים המנויים בסעיף 15א לחוק דהיינו: (1) </w:t>
      </w:r>
      <w:r>
        <w:rPr>
          <w:rFonts w:ascii="Arial" w:hAnsi="Arial" w:hint="cs"/>
          <w:rtl/>
        </w:rPr>
        <w:t xml:space="preserve"> עיקרו של ההסדר אינו בהפחתת התחרות או במניעתה ואין בהסדר כבילות שאינן נחוצות למימוש עיקרו; וכן (2) הכבילות שבהסדר אינן מגבילות את התחרות בחלק ניכר של שוק המושפע מן ההסדר, או שהן עלולות להגביל את התחרות בחלק ניכר משוק כאמור, אך אין בהן כדי לפגוע פגיעה משמעותית בתחרות בשוק כאמור.</w:t>
      </w:r>
      <w:r>
        <w:rPr>
          <w:rStyle w:val="FootnoteReference"/>
          <w:rFonts w:ascii="Arial" w:hAnsi="Arial"/>
          <w:rtl/>
        </w:rPr>
        <w:footnoteReference w:id="4"/>
      </w:r>
      <w:r>
        <w:rPr>
          <w:rFonts w:ascii="Arial" w:hAnsi="Arial" w:hint="cs"/>
          <w:rtl/>
        </w:rPr>
        <w:t xml:space="preserve"> על רקע זה, מוסמכת הממונה על התחרות לקבוע כללי פטור סוג מכוח סעיף 15א לחוק.</w:t>
      </w:r>
    </w:p>
    <w:p w14:paraId="76C91EF8" w14:textId="77777777" w:rsidR="005D2AE5" w:rsidRDefault="005D2AE5" w:rsidP="005D2AE5">
      <w:pPr>
        <w:rPr>
          <w:rtl/>
        </w:rPr>
      </w:pPr>
      <w:r>
        <w:rPr>
          <w:rFonts w:ascii="Arial" w:hAnsi="Arial" w:hint="cs"/>
          <w:rtl/>
        </w:rPr>
        <w:t xml:space="preserve">בצד הבחינה על פי סעיפים 2-9 לפטור הסוג, נוסף בשנת 2018 לפטור הסוג סעיף 9א. סעיף 9א קובע כי מבלי לגרוע מן הפטורים הקבועים בסעיפים 2 ו-3, סוגים מסוימים של מיזמים משותפים יהיו פטורים מהחובה לקבל אישור של בית הדין לתחרות, אם יתקיימו לגביהם שני התנאים המהותיים המנויים בסעיף 15א לחוק.  </w:t>
      </w:r>
      <w:r>
        <w:rPr>
          <w:rFonts w:hint="cs"/>
          <w:rtl/>
        </w:rPr>
        <w:t xml:space="preserve">  </w:t>
      </w:r>
    </w:p>
    <w:p w14:paraId="1CB60941" w14:textId="7D70E50D" w:rsidR="005D2AE5" w:rsidRDefault="005D2AE5" w:rsidP="0025122A">
      <w:pPr>
        <w:ind w:left="392"/>
        <w:rPr>
          <w:rtl/>
        </w:rPr>
      </w:pPr>
      <w:r w:rsidRPr="00424059">
        <w:rPr>
          <w:rFonts w:hint="cs"/>
          <w:rtl/>
        </w:rPr>
        <w:t>פטור הסוג קובע כי מיזם משותף בין מתחרים הנוגע לשיווק טובין לגביו הצדדים מתחרים, לא ייהנה מפטור מכוח סעיף 9א ואף לא מכוח סעיף 3 לפטור כאמור, אלא אם כן הצדדים למיזם איחדו במסגרת המיזם המשותף מושא הפטור את כל פעילותם העסקית בייצור או בייבוא הטובין. זאת נוכח החששות התחרותיים המוגברים הנובעים מהסדרים אלה.</w:t>
      </w:r>
      <w:r w:rsidRPr="00424059">
        <w:rPr>
          <w:vertAlign w:val="superscript"/>
          <w:rtl/>
        </w:rPr>
        <w:footnoteReference w:id="5"/>
      </w:r>
      <w:r w:rsidRPr="00424059">
        <w:rPr>
          <w:rFonts w:hint="cs"/>
          <w:vertAlign w:val="superscript"/>
          <w:rtl/>
        </w:rPr>
        <w:t xml:space="preserve"> </w:t>
      </w:r>
      <w:r>
        <w:rPr>
          <w:rFonts w:hint="cs"/>
          <w:rtl/>
        </w:rPr>
        <w:t>לכן ככלל,</w:t>
      </w:r>
      <w:r w:rsidRPr="00424059">
        <w:rPr>
          <w:rFonts w:hint="cs"/>
          <w:rtl/>
        </w:rPr>
        <w:t xml:space="preserve"> מיזמים משותפים בין מתחרים אשר נוגעים לשיווק טובין משוק מוצר בו הם מתחרים ימשיכו להידרש לפטור פרטני ממערך </w:t>
      </w:r>
      <w:r>
        <w:rPr>
          <w:rFonts w:hint="cs"/>
          <w:rtl/>
        </w:rPr>
        <w:t>הפיקוח על התחרות</w:t>
      </w:r>
      <w:r w:rsidRPr="00424059">
        <w:rPr>
          <w:rFonts w:hint="cs"/>
          <w:rtl/>
        </w:rPr>
        <w:t xml:space="preserve"> כתנאי לחוקיותם.</w:t>
      </w:r>
      <w:r w:rsidRPr="00424059">
        <w:rPr>
          <w:vertAlign w:val="superscript"/>
          <w:rtl/>
        </w:rPr>
        <w:footnoteReference w:id="6"/>
      </w:r>
      <w:r w:rsidRPr="00424059">
        <w:rPr>
          <w:rFonts w:hint="cs"/>
          <w:vertAlign w:val="superscript"/>
          <w:rtl/>
        </w:rPr>
        <w:t xml:space="preserve"> </w:t>
      </w:r>
    </w:p>
    <w:p w14:paraId="0E8DD184" w14:textId="347006CF" w:rsidR="005D2AE5" w:rsidRDefault="005D2AE5" w:rsidP="0017476C">
      <w:pPr>
        <w:ind w:left="392"/>
        <w:rPr>
          <w:rtl/>
        </w:rPr>
      </w:pPr>
      <w:r>
        <w:rPr>
          <w:rFonts w:hint="cs"/>
          <w:rtl/>
        </w:rPr>
        <w:lastRenderedPageBreak/>
        <w:t xml:space="preserve">ואולם, פטור הסוג לא מכוון ליצירת אנומליה שבה צדדים המקימים מיזם משותף לייצור או לייבוא טובין </w:t>
      </w:r>
      <w:r>
        <w:rPr>
          <w:rtl/>
        </w:rPr>
        <w:t>–</w:t>
      </w:r>
      <w:r>
        <w:rPr>
          <w:rFonts w:hint="cs"/>
          <w:rtl/>
        </w:rPr>
        <w:t xml:space="preserve"> חייבים לפצל את השיווק של אלו לתאגידים נפרדים, שאינם קשורים למיזם. משכך, קובע פטור הסוג כי מקום בו מתחרים שהם צדדים למיזם משותף בתחום התחרות איחדו במסגרת המיזם המשותף את כל פעילותם העסקית בייצור או ביבוא של מוצר או שירות מסוים, הם יוכלו לאחד אף את פעילות השיווק של אותו מוצר או שירות, ופטור הסוג ימשיך לחול עליהם. זאת כמובן כאשר מתקיימים ביחס להסדר כל יתר התנאים הרלוונטיים המנויים בפטור הסוג. </w:t>
      </w:r>
    </w:p>
    <w:p w14:paraId="48C20432" w14:textId="68C50F40" w:rsidR="008D1B3A" w:rsidRDefault="008D1B3A" w:rsidP="0017476C">
      <w:pPr>
        <w:ind w:left="392"/>
        <w:rPr>
          <w:rtl/>
        </w:rPr>
      </w:pPr>
      <w:r>
        <w:rPr>
          <w:rFonts w:hint="cs"/>
          <w:rtl/>
        </w:rPr>
        <w:t xml:space="preserve">פטור הסוג עתיד לפקוע ביום </w:t>
      </w:r>
      <w:r w:rsidRPr="00DB783A">
        <w:rPr>
          <w:rtl/>
        </w:rPr>
        <w:t xml:space="preserve">ט' בתשרי </w:t>
      </w:r>
      <w:proofErr w:type="spellStart"/>
      <w:r w:rsidRPr="00DB783A">
        <w:rPr>
          <w:rtl/>
        </w:rPr>
        <w:t>התשפ"ב</w:t>
      </w:r>
      <w:proofErr w:type="spellEnd"/>
      <w:r w:rsidRPr="00DB783A">
        <w:rPr>
          <w:rtl/>
        </w:rPr>
        <w:t xml:space="preserve"> (15 בספטמבר 2021)</w:t>
      </w:r>
      <w:r>
        <w:rPr>
          <w:rFonts w:hint="cs"/>
          <w:rtl/>
        </w:rPr>
        <w:t xml:space="preserve">. </w:t>
      </w:r>
    </w:p>
    <w:p w14:paraId="2FDA4398" w14:textId="77777777" w:rsidR="00BB0600" w:rsidRDefault="00BB0600" w:rsidP="00BB0600">
      <w:pPr>
        <w:rPr>
          <w:rtl/>
        </w:rPr>
      </w:pPr>
      <w:r>
        <w:rPr>
          <w:rFonts w:hint="cs"/>
          <w:rtl/>
        </w:rPr>
        <w:t>מטרת התיקון המוצע היא להאריך את תוקפם של הכללים בהוראת שעה לחמש שנים נוספות. כן נועד התיקון לכלול במסגרת פטור סוג זה גם מיזמים משותפים מסוג של הסכמי מחקר ופיתוח, שחוסים כיום בגדרו של פטור סוג ייעודי, על אף היותם מקרה פרטי של מיזם משותף. כן מוצע ולהתאים את נוסחם של הכללים לתיקון מס' 21 לחוק התחרות הכלכלית, התשמ"ח-1988, שבמסגרתו שונה, בין היתר, שם החוק ל"חוק התחרות הכלכלית" ושמו של בית הדין ל"בית הדין לתחרות".</w:t>
      </w:r>
    </w:p>
    <w:p w14:paraId="71AB72B1" w14:textId="77777777" w:rsidR="005D2AE5" w:rsidRDefault="005D2AE5" w:rsidP="005D2AE5">
      <w:pPr>
        <w:ind w:left="392"/>
        <w:rPr>
          <w:rtl/>
        </w:rPr>
      </w:pPr>
    </w:p>
    <w:p w14:paraId="595BE3EA" w14:textId="77777777" w:rsidR="005D2AE5" w:rsidRDefault="005D2AE5" w:rsidP="005D2AE5">
      <w:pPr>
        <w:ind w:left="392"/>
      </w:pPr>
      <w:r>
        <w:rPr>
          <w:rFonts w:hint="cs"/>
          <w:rtl/>
        </w:rPr>
        <w:t xml:space="preserve">  </w:t>
      </w:r>
    </w:p>
    <w:p w14:paraId="2E573680" w14:textId="77777777" w:rsidR="003A35C0" w:rsidRPr="005D2AE5" w:rsidRDefault="003A35C0" w:rsidP="00153312">
      <w:pPr>
        <w:rPr>
          <w:rtl/>
        </w:rPr>
      </w:pPr>
    </w:p>
    <w:p w14:paraId="75D7D326" w14:textId="77777777" w:rsidR="003A35C0" w:rsidRDefault="003A35C0" w:rsidP="00F24A78">
      <w:pPr>
        <w:pStyle w:val="Heading4"/>
        <w:rPr>
          <w:rtl/>
        </w:rPr>
      </w:pPr>
      <w:bookmarkStart w:id="20" w:name="_Toc61248074"/>
      <w:bookmarkStart w:id="21" w:name="_Toc71711547"/>
      <w:bookmarkStart w:id="22" w:name="_Toc71712153"/>
      <w:bookmarkStart w:id="23" w:name="_Toc71712186"/>
      <w:bookmarkStart w:id="24" w:name="_Toc72401333"/>
      <w:r>
        <w:rPr>
          <w:rFonts w:hint="cs"/>
          <w:rtl/>
        </w:rPr>
        <w:t>להלן נוסח טיוטת הכללים המוצעים:</w:t>
      </w:r>
      <w:bookmarkEnd w:id="20"/>
      <w:bookmarkEnd w:id="21"/>
      <w:bookmarkEnd w:id="22"/>
      <w:bookmarkEnd w:id="23"/>
      <w:bookmarkEnd w:id="24"/>
      <w:r>
        <w:rPr>
          <w:rFonts w:hint="cs"/>
          <w:rtl/>
        </w:rPr>
        <w:t xml:space="preserve"> </w:t>
      </w:r>
    </w:p>
    <w:p w14:paraId="42D01266" w14:textId="77777777" w:rsidR="00905B38" w:rsidRDefault="00905B38">
      <w:pPr>
        <w:widowControl/>
        <w:bidi w:val="0"/>
        <w:spacing w:after="160" w:line="259" w:lineRule="auto"/>
        <w:ind w:left="0"/>
        <w:contextualSpacing w:val="0"/>
        <w:jc w:val="left"/>
        <w:rPr>
          <w:rFonts w:ascii="Arial" w:eastAsia="Arial Unicode MS" w:hAnsi="Arial"/>
          <w:b/>
          <w:bCs/>
          <w:snapToGrid w:val="0"/>
          <w:sz w:val="20"/>
          <w:szCs w:val="26"/>
          <w:rtl/>
        </w:rPr>
      </w:pPr>
      <w:bookmarkStart w:id="25" w:name="_Toc61248053"/>
      <w:bookmarkStart w:id="26" w:name="_Toc61248075"/>
      <w:bookmarkStart w:id="27" w:name="_Toc71711524"/>
      <w:bookmarkStart w:id="28" w:name="_Toc71711548"/>
      <w:bookmarkStart w:id="29" w:name="_Toc71712130"/>
      <w:bookmarkStart w:id="30" w:name="_Toc71712154"/>
      <w:bookmarkStart w:id="31" w:name="_Toc71712163"/>
      <w:bookmarkStart w:id="32" w:name="_Toc71712187"/>
      <w:r>
        <w:rPr>
          <w:rtl/>
        </w:rPr>
        <w:br w:type="page"/>
      </w:r>
    </w:p>
    <w:p w14:paraId="00B07CCA" w14:textId="242F39FB" w:rsidR="003A35C0" w:rsidRDefault="003A35C0" w:rsidP="00EF50AE">
      <w:pPr>
        <w:pStyle w:val="HeadHatzaotHok"/>
        <w:keepNext w:val="0"/>
        <w:keepLines w:val="0"/>
        <w:rPr>
          <w:rtl/>
        </w:rPr>
      </w:pPr>
      <w:bookmarkStart w:id="33" w:name="_Toc72401334"/>
      <w:r>
        <w:rPr>
          <w:rtl/>
        </w:rPr>
        <w:lastRenderedPageBreak/>
        <w:t xml:space="preserve">טיוטת </w:t>
      </w:r>
      <w:r w:rsidRPr="00CC4B65">
        <w:rPr>
          <w:rtl/>
        </w:rPr>
        <w:t xml:space="preserve">כללי </w:t>
      </w:r>
      <w:r w:rsidR="001B3826">
        <w:rPr>
          <w:rFonts w:hint="cs"/>
          <w:rtl/>
        </w:rPr>
        <w:t>ההגבלים העסקיים</w:t>
      </w:r>
      <w:r w:rsidR="00286F55">
        <w:rPr>
          <w:rFonts w:hint="cs"/>
          <w:rtl/>
        </w:rPr>
        <w:t xml:space="preserve"> (פטור סוג </w:t>
      </w:r>
      <w:r w:rsidR="00EF50AE">
        <w:rPr>
          <w:rFonts w:hint="cs"/>
          <w:rtl/>
        </w:rPr>
        <w:t>למיזמים משותפים</w:t>
      </w:r>
      <w:r w:rsidR="00286F55">
        <w:rPr>
          <w:rFonts w:hint="cs"/>
          <w:rtl/>
        </w:rPr>
        <w:t xml:space="preserve">) (הוראת שעה) </w:t>
      </w:r>
      <w:r w:rsidR="005229C6">
        <w:rPr>
          <w:rtl/>
        </w:rPr>
        <w:t>(תיקון</w:t>
      </w:r>
      <w:r>
        <w:rPr>
          <w:rtl/>
        </w:rPr>
        <w:t>)</w:t>
      </w:r>
      <w:r w:rsidR="00286F55">
        <w:rPr>
          <w:rFonts w:hint="cs"/>
          <w:rtl/>
        </w:rPr>
        <w:t>, התשפ"א-2021</w:t>
      </w:r>
      <w:bookmarkEnd w:id="25"/>
      <w:bookmarkEnd w:id="26"/>
      <w:bookmarkEnd w:id="27"/>
      <w:bookmarkEnd w:id="28"/>
      <w:bookmarkEnd w:id="29"/>
      <w:bookmarkEnd w:id="30"/>
      <w:bookmarkEnd w:id="31"/>
      <w:bookmarkEnd w:id="32"/>
      <w:bookmarkEnd w:id="33"/>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1872"/>
        <w:gridCol w:w="624"/>
        <w:gridCol w:w="4650"/>
      </w:tblGrid>
      <w:tr w:rsidR="003A35C0" w14:paraId="53276650" w14:textId="77777777" w:rsidTr="005D2AE5">
        <w:trPr>
          <w:cantSplit/>
          <w:trHeight w:val="60"/>
        </w:trPr>
        <w:tc>
          <w:tcPr>
            <w:tcW w:w="1871" w:type="dxa"/>
          </w:tcPr>
          <w:p w14:paraId="0DB00144" w14:textId="77777777" w:rsidR="003A35C0" w:rsidRDefault="003A35C0">
            <w:pPr>
              <w:pStyle w:val="TableSideHeading"/>
              <w:rPr>
                <w:rtl/>
              </w:rPr>
            </w:pPr>
          </w:p>
        </w:tc>
        <w:tc>
          <w:tcPr>
            <w:tcW w:w="624" w:type="dxa"/>
          </w:tcPr>
          <w:p w14:paraId="342D43CE" w14:textId="77777777" w:rsidR="003A35C0" w:rsidRDefault="003A35C0">
            <w:pPr>
              <w:pStyle w:val="TableText"/>
            </w:pPr>
          </w:p>
        </w:tc>
        <w:tc>
          <w:tcPr>
            <w:tcW w:w="7146" w:type="dxa"/>
            <w:gridSpan w:val="3"/>
            <w:hideMark/>
          </w:tcPr>
          <w:p w14:paraId="478EFA5C" w14:textId="77777777" w:rsidR="003A35C0" w:rsidRDefault="003A35C0" w:rsidP="00CC4B65">
            <w:pPr>
              <w:pStyle w:val="TableBlock"/>
            </w:pPr>
            <w:r>
              <w:rPr>
                <w:rtl/>
              </w:rPr>
              <w:t>בתוקף סמכותי לפי סעיף</w:t>
            </w:r>
            <w:r w:rsidR="00286F55">
              <w:rPr>
                <w:rFonts w:hint="cs"/>
                <w:rtl/>
              </w:rPr>
              <w:t xml:space="preserve"> 15א לחוק </w:t>
            </w:r>
            <w:r w:rsidR="00CC4B65">
              <w:rPr>
                <w:rFonts w:hint="cs"/>
                <w:rtl/>
              </w:rPr>
              <w:t>התחרות הכלכלית</w:t>
            </w:r>
            <w:r w:rsidR="00286F55">
              <w:rPr>
                <w:rFonts w:hint="cs"/>
                <w:rtl/>
              </w:rPr>
              <w:t>, התשמ"ח-1988</w:t>
            </w:r>
            <w:r w:rsidR="0034368F">
              <w:rPr>
                <w:rStyle w:val="FootnoteReference"/>
                <w:rtl/>
              </w:rPr>
              <w:footnoteReference w:id="7"/>
            </w:r>
            <w:r w:rsidR="0034368F">
              <w:rPr>
                <w:rFonts w:hint="cs"/>
                <w:rtl/>
              </w:rPr>
              <w:t>, ובאישור הוועדה לפטורים ולמיזוגים, אני מתקינה כללי פטור סוג אלה</w:t>
            </w:r>
            <w:r>
              <w:rPr>
                <w:rtl/>
              </w:rPr>
              <w:t>:</w:t>
            </w:r>
          </w:p>
        </w:tc>
      </w:tr>
      <w:tr w:rsidR="003A35C0" w14:paraId="042A2070" w14:textId="77777777" w:rsidTr="005D2AE5">
        <w:trPr>
          <w:cantSplit/>
          <w:trHeight w:val="60"/>
        </w:trPr>
        <w:tc>
          <w:tcPr>
            <w:tcW w:w="1871" w:type="dxa"/>
          </w:tcPr>
          <w:p w14:paraId="1A892884" w14:textId="77777777" w:rsidR="003A35C0" w:rsidRDefault="0034368F">
            <w:pPr>
              <w:pStyle w:val="TableSideHeading"/>
            </w:pPr>
            <w:bookmarkStart w:id="34" w:name="_Toc61248054"/>
            <w:bookmarkStart w:id="35" w:name="_Toc61248076"/>
            <w:bookmarkStart w:id="36" w:name="_Toc71711525"/>
            <w:bookmarkStart w:id="37" w:name="_Toc71711549"/>
            <w:bookmarkStart w:id="38" w:name="_Toc71712131"/>
            <w:bookmarkStart w:id="39" w:name="_Toc71712155"/>
            <w:bookmarkStart w:id="40" w:name="_Toc71712164"/>
            <w:bookmarkStart w:id="41" w:name="_Toc71712188"/>
            <w:bookmarkStart w:id="42" w:name="_Toc72401335"/>
            <w:r>
              <w:rPr>
                <w:rFonts w:hint="cs"/>
                <w:rtl/>
              </w:rPr>
              <w:t>תיקון השם</w:t>
            </w:r>
            <w:bookmarkEnd w:id="34"/>
            <w:bookmarkEnd w:id="35"/>
            <w:bookmarkEnd w:id="36"/>
            <w:bookmarkEnd w:id="37"/>
            <w:bookmarkEnd w:id="38"/>
            <w:bookmarkEnd w:id="39"/>
            <w:bookmarkEnd w:id="40"/>
            <w:bookmarkEnd w:id="41"/>
            <w:bookmarkEnd w:id="42"/>
          </w:p>
        </w:tc>
        <w:tc>
          <w:tcPr>
            <w:tcW w:w="624" w:type="dxa"/>
          </w:tcPr>
          <w:p w14:paraId="1AE40B86" w14:textId="77777777" w:rsidR="003A35C0" w:rsidRDefault="003A35C0" w:rsidP="003A35C0">
            <w:pPr>
              <w:pStyle w:val="TableText"/>
              <w:numPr>
                <w:ilvl w:val="0"/>
                <w:numId w:val="2"/>
              </w:numPr>
            </w:pPr>
          </w:p>
        </w:tc>
        <w:tc>
          <w:tcPr>
            <w:tcW w:w="7146" w:type="dxa"/>
            <w:gridSpan w:val="3"/>
          </w:tcPr>
          <w:p w14:paraId="399AD6AB" w14:textId="0ADCD696" w:rsidR="003A35C0" w:rsidRDefault="0034368F" w:rsidP="00EF50AE">
            <w:pPr>
              <w:pStyle w:val="TableBlock"/>
            </w:pPr>
            <w:r>
              <w:rPr>
                <w:rFonts w:hint="cs"/>
                <w:rtl/>
              </w:rPr>
              <w:t>בכללי ההגבלים העסקיים (</w:t>
            </w:r>
            <w:r w:rsidR="00EF50AE">
              <w:rPr>
                <w:rFonts w:hint="cs"/>
                <w:rtl/>
              </w:rPr>
              <w:t>פטור סוג למיזמים משותפים) (הוראת שעה), תשס"ו</w:t>
            </w:r>
            <w:r>
              <w:rPr>
                <w:rFonts w:hint="cs"/>
                <w:rtl/>
              </w:rPr>
              <w:t>-</w:t>
            </w:r>
            <w:r w:rsidR="00EF50AE">
              <w:rPr>
                <w:rFonts w:hint="cs"/>
                <w:rtl/>
              </w:rPr>
              <w:t>2006</w:t>
            </w:r>
            <w:r>
              <w:rPr>
                <w:rStyle w:val="FootnoteReference"/>
                <w:rtl/>
              </w:rPr>
              <w:footnoteReference w:id="8"/>
            </w:r>
            <w:r>
              <w:rPr>
                <w:rFonts w:hint="cs"/>
                <w:rtl/>
              </w:rPr>
              <w:t xml:space="preserve"> (להלן </w:t>
            </w:r>
            <w:r>
              <w:rPr>
                <w:rtl/>
              </w:rPr>
              <w:t>–</w:t>
            </w:r>
            <w:r>
              <w:rPr>
                <w:rFonts w:hint="cs"/>
                <w:rtl/>
              </w:rPr>
              <w:t xml:space="preserve"> הכללים העיקריים) </w:t>
            </w:r>
            <w:r w:rsidR="006B1CDF">
              <w:rPr>
                <w:rFonts w:hint="cs"/>
                <w:rtl/>
              </w:rPr>
              <w:t>במקום שם הכללים העיקריים יבוא: "כללי התחרות הכלכלית (</w:t>
            </w:r>
            <w:r w:rsidR="00EF50AE">
              <w:rPr>
                <w:rFonts w:hint="cs"/>
                <w:rtl/>
              </w:rPr>
              <w:t>פטור סוג למיזמים משותפים) (הוראת שעה), תשס"ו-2006</w:t>
            </w:r>
            <w:r w:rsidR="006B1CDF">
              <w:rPr>
                <w:rFonts w:hint="cs"/>
                <w:rtl/>
              </w:rPr>
              <w:t xml:space="preserve">". </w:t>
            </w:r>
          </w:p>
        </w:tc>
      </w:tr>
      <w:tr w:rsidR="006B1CDF" w14:paraId="6BC7CEAB" w14:textId="77777777" w:rsidTr="005D2AE5">
        <w:trPr>
          <w:cantSplit/>
          <w:trHeight w:val="60"/>
        </w:trPr>
        <w:tc>
          <w:tcPr>
            <w:tcW w:w="1871" w:type="dxa"/>
          </w:tcPr>
          <w:p w14:paraId="5F2B12A5" w14:textId="77777777" w:rsidR="006B1CDF" w:rsidRDefault="006B1CDF" w:rsidP="007E751D">
            <w:pPr>
              <w:pStyle w:val="TableSideHeading"/>
              <w:keepLines w:val="0"/>
            </w:pPr>
            <w:bookmarkStart w:id="43" w:name="_Toc61248055"/>
            <w:bookmarkStart w:id="44" w:name="_Toc61248077"/>
            <w:bookmarkStart w:id="45" w:name="_Toc71711526"/>
            <w:bookmarkStart w:id="46" w:name="_Toc71711550"/>
            <w:bookmarkStart w:id="47" w:name="_Toc71712132"/>
            <w:bookmarkStart w:id="48" w:name="_Toc71712156"/>
            <w:bookmarkStart w:id="49" w:name="_Toc71712165"/>
            <w:bookmarkStart w:id="50" w:name="_Toc71712189"/>
            <w:bookmarkStart w:id="51" w:name="_Toc72401336"/>
            <w:r>
              <w:rPr>
                <w:rFonts w:hint="cs"/>
                <w:rtl/>
              </w:rPr>
              <w:t>תיקון הפתיח</w:t>
            </w:r>
            <w:bookmarkEnd w:id="43"/>
            <w:bookmarkEnd w:id="44"/>
            <w:bookmarkEnd w:id="45"/>
            <w:bookmarkEnd w:id="46"/>
            <w:bookmarkEnd w:id="47"/>
            <w:bookmarkEnd w:id="48"/>
            <w:bookmarkEnd w:id="49"/>
            <w:bookmarkEnd w:id="50"/>
            <w:bookmarkEnd w:id="51"/>
          </w:p>
        </w:tc>
        <w:tc>
          <w:tcPr>
            <w:tcW w:w="624" w:type="dxa"/>
          </w:tcPr>
          <w:p w14:paraId="1277395B" w14:textId="77777777" w:rsidR="006B1CDF" w:rsidRDefault="006B1CDF" w:rsidP="006B1CDF">
            <w:pPr>
              <w:pStyle w:val="TableText"/>
              <w:keepLines w:val="0"/>
              <w:numPr>
                <w:ilvl w:val="0"/>
                <w:numId w:val="4"/>
              </w:numPr>
            </w:pPr>
          </w:p>
        </w:tc>
        <w:tc>
          <w:tcPr>
            <w:tcW w:w="7146" w:type="dxa"/>
            <w:gridSpan w:val="3"/>
          </w:tcPr>
          <w:p w14:paraId="02E023BD" w14:textId="77777777" w:rsidR="006B1CDF" w:rsidRPr="00C34DE2" w:rsidRDefault="006B1CDF" w:rsidP="007E751D">
            <w:pPr>
              <w:pStyle w:val="TableBlock"/>
              <w:keepLines w:val="0"/>
            </w:pPr>
            <w:r>
              <w:rPr>
                <w:rFonts w:hint="cs"/>
                <w:rtl/>
              </w:rPr>
              <w:t>בכללים העיקריים, ברישה במקום "ההגבלים העסקיים" יבוא "התחרות הכלכלית".</w:t>
            </w:r>
          </w:p>
        </w:tc>
      </w:tr>
      <w:tr w:rsidR="00594A01" w14:paraId="40E57460" w14:textId="77777777" w:rsidTr="005D2AE5">
        <w:trPr>
          <w:cantSplit/>
          <w:trHeight w:val="60"/>
        </w:trPr>
        <w:tc>
          <w:tcPr>
            <w:tcW w:w="1871" w:type="dxa"/>
          </w:tcPr>
          <w:p w14:paraId="396557D5" w14:textId="7DAF2BFC" w:rsidR="00594A01" w:rsidRDefault="00594A01" w:rsidP="007E751D">
            <w:pPr>
              <w:pStyle w:val="TableSideHeading"/>
              <w:keepLines w:val="0"/>
              <w:rPr>
                <w:rtl/>
              </w:rPr>
            </w:pPr>
            <w:bookmarkStart w:id="52" w:name="_Toc72401337"/>
            <w:r>
              <w:rPr>
                <w:rFonts w:hint="cs"/>
                <w:rtl/>
              </w:rPr>
              <w:t>תיקון סעיף 1</w:t>
            </w:r>
            <w:bookmarkEnd w:id="52"/>
          </w:p>
        </w:tc>
        <w:tc>
          <w:tcPr>
            <w:tcW w:w="624" w:type="dxa"/>
          </w:tcPr>
          <w:p w14:paraId="7FE76A2E" w14:textId="77777777" w:rsidR="00594A01" w:rsidRDefault="00594A01" w:rsidP="006B1CDF">
            <w:pPr>
              <w:pStyle w:val="TableText"/>
              <w:keepLines w:val="0"/>
              <w:numPr>
                <w:ilvl w:val="0"/>
                <w:numId w:val="4"/>
              </w:numPr>
            </w:pPr>
          </w:p>
        </w:tc>
        <w:tc>
          <w:tcPr>
            <w:tcW w:w="7146" w:type="dxa"/>
            <w:gridSpan w:val="3"/>
          </w:tcPr>
          <w:p w14:paraId="6BE164D0" w14:textId="5D702D44" w:rsidR="00594A01" w:rsidRDefault="00594A01" w:rsidP="00B41473">
            <w:pPr>
              <w:pStyle w:val="TableBlock"/>
              <w:keepLines w:val="0"/>
              <w:rPr>
                <w:rtl/>
              </w:rPr>
            </w:pPr>
            <w:r>
              <w:rPr>
                <w:rFonts w:hint="cs"/>
                <w:rtl/>
              </w:rPr>
              <w:t xml:space="preserve">בסעיף 1 </w:t>
            </w:r>
            <w:r w:rsidR="004C2165">
              <w:rPr>
                <w:rFonts w:hint="cs"/>
                <w:rtl/>
              </w:rPr>
              <w:t xml:space="preserve">לכללים העיקריים </w:t>
            </w:r>
            <w:r w:rsidR="00B41473">
              <w:rPr>
                <w:rFonts w:hint="cs"/>
                <w:rtl/>
              </w:rPr>
              <w:t>-</w:t>
            </w:r>
          </w:p>
        </w:tc>
      </w:tr>
      <w:tr w:rsidR="00B41473" w14:paraId="6D01465C" w14:textId="77777777" w:rsidTr="005D2AE5">
        <w:trPr>
          <w:cantSplit/>
          <w:trHeight w:val="60"/>
        </w:trPr>
        <w:tc>
          <w:tcPr>
            <w:tcW w:w="1871" w:type="dxa"/>
          </w:tcPr>
          <w:p w14:paraId="49357676" w14:textId="77777777" w:rsidR="00B41473" w:rsidRDefault="00B41473" w:rsidP="007E751D">
            <w:pPr>
              <w:pStyle w:val="TableSideHeading"/>
              <w:keepLines w:val="0"/>
              <w:rPr>
                <w:rtl/>
              </w:rPr>
            </w:pPr>
          </w:p>
        </w:tc>
        <w:tc>
          <w:tcPr>
            <w:tcW w:w="624" w:type="dxa"/>
          </w:tcPr>
          <w:p w14:paraId="230E63B6" w14:textId="77777777" w:rsidR="00B41473" w:rsidRDefault="00B41473" w:rsidP="00B41473">
            <w:pPr>
              <w:pStyle w:val="TableText"/>
            </w:pPr>
          </w:p>
        </w:tc>
        <w:tc>
          <w:tcPr>
            <w:tcW w:w="7146" w:type="dxa"/>
            <w:gridSpan w:val="3"/>
          </w:tcPr>
          <w:p w14:paraId="7A140498" w14:textId="4DFC113A" w:rsidR="00B41473" w:rsidRDefault="00B41473" w:rsidP="00B41473">
            <w:pPr>
              <w:pStyle w:val="TableBlock"/>
              <w:numPr>
                <w:ilvl w:val="0"/>
                <w:numId w:val="28"/>
              </w:numPr>
              <w:tabs>
                <w:tab w:val="left" w:pos="624"/>
              </w:tabs>
              <w:rPr>
                <w:rtl/>
              </w:rPr>
            </w:pPr>
            <w:r>
              <w:rPr>
                <w:rFonts w:hint="cs"/>
                <w:rtl/>
              </w:rPr>
              <w:t>לפני ההגדרה "מיזם משותף" יבוא:</w:t>
            </w:r>
          </w:p>
        </w:tc>
      </w:tr>
      <w:tr w:rsidR="007319B7" w14:paraId="3FBC649F" w14:textId="77777777" w:rsidTr="005D2AE5">
        <w:trPr>
          <w:cantSplit/>
          <w:trHeight w:val="60"/>
        </w:trPr>
        <w:tc>
          <w:tcPr>
            <w:tcW w:w="1871" w:type="dxa"/>
          </w:tcPr>
          <w:p w14:paraId="5FF3FB9F" w14:textId="77777777" w:rsidR="007319B7" w:rsidRDefault="007319B7" w:rsidP="007E751D">
            <w:pPr>
              <w:pStyle w:val="TableSideHeading"/>
              <w:keepLines w:val="0"/>
              <w:rPr>
                <w:rtl/>
              </w:rPr>
            </w:pPr>
          </w:p>
        </w:tc>
        <w:tc>
          <w:tcPr>
            <w:tcW w:w="624" w:type="dxa"/>
          </w:tcPr>
          <w:p w14:paraId="2E08E85E" w14:textId="77777777" w:rsidR="007319B7" w:rsidRDefault="007319B7" w:rsidP="007319B7">
            <w:pPr>
              <w:pStyle w:val="TableText"/>
            </w:pPr>
          </w:p>
        </w:tc>
        <w:tc>
          <w:tcPr>
            <w:tcW w:w="7146" w:type="dxa"/>
            <w:gridSpan w:val="3"/>
          </w:tcPr>
          <w:p w14:paraId="26C71D51" w14:textId="152F9267" w:rsidR="007319B7" w:rsidRPr="007319B7" w:rsidRDefault="007319B7" w:rsidP="00FE2EC0">
            <w:pPr>
              <w:pStyle w:val="TableBlockOutdent"/>
              <w:rPr>
                <w:rtl/>
              </w:rPr>
            </w:pPr>
            <w:r>
              <w:rPr>
                <w:rFonts w:hint="cs"/>
                <w:rtl/>
              </w:rPr>
              <w:t>"</w:t>
            </w:r>
            <w:r w:rsidR="00240473">
              <w:rPr>
                <w:rFonts w:hint="cs"/>
                <w:rtl/>
              </w:rPr>
              <w:t xml:space="preserve"> </w:t>
            </w:r>
            <w:r>
              <w:rPr>
                <w:rtl/>
              </w:rPr>
              <w:t>"</w:t>
            </w:r>
            <w:r>
              <w:rPr>
                <w:rFonts w:hint="cs"/>
                <w:rtl/>
              </w:rPr>
              <w:t xml:space="preserve">מחקר ופיתוח" </w:t>
            </w:r>
            <w:r>
              <w:rPr>
                <w:rtl/>
              </w:rPr>
              <w:t>–</w:t>
            </w:r>
            <w:r>
              <w:rPr>
                <w:rFonts w:hint="cs"/>
                <w:rtl/>
              </w:rPr>
              <w:t xml:space="preserve"> פעילות שמטרתה </w:t>
            </w:r>
            <w:r w:rsidRPr="004C2165">
              <w:rPr>
                <w:rtl/>
              </w:rPr>
              <w:t>פיתוח מוצר או תהליך או לשיפור מוצר קיים או תהליך קיים, לרבות רכישת ידע טכני, ביצוע ייצור ניסיוני, עריכת ניסויים ובניית מיתקנים נחוצים, ככל הנחוץ להשגת התוצאות המבוקשות</w:t>
            </w:r>
            <w:r>
              <w:rPr>
                <w:rFonts w:hint="cs"/>
                <w:rtl/>
              </w:rPr>
              <w:t>".</w:t>
            </w:r>
          </w:p>
        </w:tc>
      </w:tr>
      <w:tr w:rsidR="00B41473" w14:paraId="2DAC37ED" w14:textId="77777777" w:rsidTr="005D2AE5">
        <w:trPr>
          <w:cantSplit/>
          <w:trHeight w:val="60"/>
        </w:trPr>
        <w:tc>
          <w:tcPr>
            <w:tcW w:w="1871" w:type="dxa"/>
          </w:tcPr>
          <w:p w14:paraId="34D42EA5" w14:textId="77777777" w:rsidR="00B41473" w:rsidRDefault="00B41473" w:rsidP="007E751D">
            <w:pPr>
              <w:pStyle w:val="TableSideHeading"/>
              <w:keepLines w:val="0"/>
              <w:rPr>
                <w:rtl/>
              </w:rPr>
            </w:pPr>
          </w:p>
        </w:tc>
        <w:tc>
          <w:tcPr>
            <w:tcW w:w="624" w:type="dxa"/>
          </w:tcPr>
          <w:p w14:paraId="4B0E3327" w14:textId="77777777" w:rsidR="00B41473" w:rsidRDefault="00B41473" w:rsidP="007319B7">
            <w:pPr>
              <w:pStyle w:val="TableText"/>
            </w:pPr>
          </w:p>
        </w:tc>
        <w:tc>
          <w:tcPr>
            <w:tcW w:w="7146" w:type="dxa"/>
            <w:gridSpan w:val="3"/>
          </w:tcPr>
          <w:p w14:paraId="7ACD3662" w14:textId="56368034" w:rsidR="00B41473" w:rsidRPr="00B41473" w:rsidRDefault="00B41473" w:rsidP="00B41473">
            <w:pPr>
              <w:pStyle w:val="TableBlock"/>
              <w:numPr>
                <w:ilvl w:val="0"/>
                <w:numId w:val="28"/>
              </w:numPr>
              <w:tabs>
                <w:tab w:val="left" w:pos="624"/>
              </w:tabs>
              <w:rPr>
                <w:rtl/>
              </w:rPr>
            </w:pPr>
            <w:r>
              <w:rPr>
                <w:rFonts w:hint="cs"/>
                <w:rtl/>
              </w:rPr>
              <w:t>בהגדרה "מיזם משותף"</w:t>
            </w:r>
            <w:r w:rsidR="009B248C">
              <w:rPr>
                <w:rFonts w:hint="cs"/>
                <w:rtl/>
              </w:rPr>
              <w:t xml:space="preserve"> אחרי "או רכישתם" יבוא "וכן הסכם לשיתוף פעולה שעניינו מחקר ופיתוח".</w:t>
            </w:r>
          </w:p>
        </w:tc>
      </w:tr>
      <w:tr w:rsidR="006B1CDF" w14:paraId="351DEFD0" w14:textId="77777777" w:rsidTr="005D2AE5">
        <w:trPr>
          <w:cantSplit/>
          <w:trHeight w:val="60"/>
        </w:trPr>
        <w:tc>
          <w:tcPr>
            <w:tcW w:w="1871" w:type="dxa"/>
          </w:tcPr>
          <w:p w14:paraId="6B505B20" w14:textId="3047FA35" w:rsidR="006B1CDF" w:rsidRDefault="006B1CDF" w:rsidP="002C6B3D">
            <w:pPr>
              <w:pStyle w:val="TableSideHeading"/>
              <w:keepLines w:val="0"/>
            </w:pPr>
            <w:bookmarkStart w:id="53" w:name="_Toc61248056"/>
            <w:bookmarkStart w:id="54" w:name="_Toc61248078"/>
            <w:bookmarkStart w:id="55" w:name="_Toc71711527"/>
            <w:bookmarkStart w:id="56" w:name="_Toc71711551"/>
            <w:bookmarkStart w:id="57" w:name="_Toc71712133"/>
            <w:bookmarkStart w:id="58" w:name="_Toc71712157"/>
            <w:bookmarkStart w:id="59" w:name="_Toc71712166"/>
            <w:bookmarkStart w:id="60" w:name="_Toc71712190"/>
            <w:bookmarkStart w:id="61" w:name="_Toc72401338"/>
            <w:r>
              <w:rPr>
                <w:rFonts w:hint="cs"/>
                <w:rtl/>
              </w:rPr>
              <w:t xml:space="preserve">תיקון סעיף </w:t>
            </w:r>
            <w:bookmarkEnd w:id="53"/>
            <w:bookmarkEnd w:id="54"/>
            <w:r w:rsidR="002C6B3D">
              <w:rPr>
                <w:rFonts w:hint="cs"/>
                <w:rtl/>
              </w:rPr>
              <w:t>2</w:t>
            </w:r>
            <w:bookmarkEnd w:id="55"/>
            <w:bookmarkEnd w:id="56"/>
            <w:bookmarkEnd w:id="57"/>
            <w:bookmarkEnd w:id="58"/>
            <w:bookmarkEnd w:id="59"/>
            <w:bookmarkEnd w:id="60"/>
            <w:bookmarkEnd w:id="61"/>
          </w:p>
        </w:tc>
        <w:tc>
          <w:tcPr>
            <w:tcW w:w="624" w:type="dxa"/>
          </w:tcPr>
          <w:p w14:paraId="04C4C5DA" w14:textId="77777777" w:rsidR="006B1CDF" w:rsidRDefault="006B1CDF" w:rsidP="006B1CDF">
            <w:pPr>
              <w:pStyle w:val="TableText"/>
              <w:keepLines w:val="0"/>
              <w:numPr>
                <w:ilvl w:val="0"/>
                <w:numId w:val="4"/>
              </w:numPr>
            </w:pPr>
          </w:p>
        </w:tc>
        <w:tc>
          <w:tcPr>
            <w:tcW w:w="7146" w:type="dxa"/>
            <w:gridSpan w:val="3"/>
          </w:tcPr>
          <w:p w14:paraId="0BE6ECFA" w14:textId="20E6681B" w:rsidR="006B1CDF" w:rsidRPr="00C34DE2" w:rsidRDefault="006B1CDF" w:rsidP="002C6B3D">
            <w:pPr>
              <w:pStyle w:val="TableBlock"/>
            </w:pPr>
            <w:r>
              <w:rPr>
                <w:rFonts w:hint="cs"/>
                <w:rtl/>
              </w:rPr>
              <w:t xml:space="preserve">בסעיף </w:t>
            </w:r>
            <w:r w:rsidR="002C6B3D">
              <w:rPr>
                <w:rFonts w:hint="cs"/>
                <w:rtl/>
              </w:rPr>
              <w:t>2</w:t>
            </w:r>
            <w:r w:rsidR="00BF5DA3">
              <w:rPr>
                <w:rFonts w:hint="cs"/>
                <w:rtl/>
              </w:rPr>
              <w:t>(א)</w:t>
            </w:r>
            <w:r w:rsidR="002C6B3D">
              <w:rPr>
                <w:rFonts w:hint="cs"/>
                <w:rtl/>
              </w:rPr>
              <w:t xml:space="preserve"> לכללים העיקריים, במקום "להגבלים עסקיים" יבוא "לתחרות".</w:t>
            </w:r>
            <w:r>
              <w:rPr>
                <w:rFonts w:hint="cs"/>
                <w:rtl/>
              </w:rPr>
              <w:t xml:space="preserve"> </w:t>
            </w:r>
          </w:p>
        </w:tc>
      </w:tr>
      <w:tr w:rsidR="004C2165" w14:paraId="63C0BC3B" w14:textId="77777777" w:rsidTr="005D2AE5">
        <w:trPr>
          <w:cantSplit/>
          <w:trHeight w:val="60"/>
        </w:trPr>
        <w:tc>
          <w:tcPr>
            <w:tcW w:w="1871" w:type="dxa"/>
          </w:tcPr>
          <w:p w14:paraId="4936ACF5" w14:textId="08BC0383" w:rsidR="004C2165" w:rsidRDefault="004C2165" w:rsidP="002C6B3D">
            <w:pPr>
              <w:pStyle w:val="TableSideHeading"/>
              <w:keepLines w:val="0"/>
              <w:rPr>
                <w:rtl/>
              </w:rPr>
            </w:pPr>
            <w:bookmarkStart w:id="62" w:name="_Toc72401339"/>
            <w:r>
              <w:rPr>
                <w:rFonts w:hint="cs"/>
                <w:rtl/>
              </w:rPr>
              <w:t>תיקון סעיף 2</w:t>
            </w:r>
            <w:bookmarkEnd w:id="62"/>
          </w:p>
        </w:tc>
        <w:tc>
          <w:tcPr>
            <w:tcW w:w="624" w:type="dxa"/>
          </w:tcPr>
          <w:p w14:paraId="51960786" w14:textId="77777777" w:rsidR="004C2165" w:rsidRDefault="004C2165" w:rsidP="006B1CDF">
            <w:pPr>
              <w:pStyle w:val="TableText"/>
              <w:keepLines w:val="0"/>
              <w:numPr>
                <w:ilvl w:val="0"/>
                <w:numId w:val="4"/>
              </w:numPr>
            </w:pPr>
          </w:p>
        </w:tc>
        <w:tc>
          <w:tcPr>
            <w:tcW w:w="7146" w:type="dxa"/>
            <w:gridSpan w:val="3"/>
          </w:tcPr>
          <w:p w14:paraId="03AB7554" w14:textId="0F4D1724" w:rsidR="004C2165" w:rsidRDefault="004C2165" w:rsidP="00F230B4">
            <w:pPr>
              <w:pStyle w:val="TableBlock"/>
              <w:rPr>
                <w:rtl/>
              </w:rPr>
            </w:pPr>
            <w:r>
              <w:rPr>
                <w:rFonts w:hint="cs"/>
                <w:rtl/>
              </w:rPr>
              <w:t>בסעיף 2(ב)(9)</w:t>
            </w:r>
            <w:r w:rsidR="00F5295F">
              <w:rPr>
                <w:rFonts w:hint="cs"/>
                <w:rtl/>
              </w:rPr>
              <w:t xml:space="preserve"> לכללים העיקריים, </w:t>
            </w:r>
            <w:r w:rsidR="00F230B4">
              <w:rPr>
                <w:rFonts w:hint="cs"/>
                <w:rtl/>
              </w:rPr>
              <w:t>בסופו</w:t>
            </w:r>
            <w:r w:rsidR="00F5295F">
              <w:rPr>
                <w:rFonts w:hint="cs"/>
                <w:rtl/>
              </w:rPr>
              <w:t xml:space="preserve"> יבוא: </w:t>
            </w:r>
            <w:r>
              <w:rPr>
                <w:rFonts w:hint="cs"/>
                <w:rtl/>
              </w:rPr>
              <w:t xml:space="preserve"> </w:t>
            </w:r>
          </w:p>
        </w:tc>
      </w:tr>
      <w:tr w:rsidR="00F5295F" w14:paraId="09ACAC50" w14:textId="77777777">
        <w:trPr>
          <w:cantSplit/>
          <w:trHeight w:val="60"/>
        </w:trPr>
        <w:tc>
          <w:tcPr>
            <w:tcW w:w="1871" w:type="dxa"/>
          </w:tcPr>
          <w:p w14:paraId="4B621085" w14:textId="77777777" w:rsidR="00F5295F" w:rsidRDefault="00F5295F">
            <w:pPr>
              <w:pStyle w:val="TableSideHeading"/>
              <w:keepLines w:val="0"/>
            </w:pPr>
            <w:bookmarkStart w:id="63" w:name="_Toc61248057"/>
            <w:bookmarkStart w:id="64" w:name="_Toc61248079"/>
            <w:bookmarkStart w:id="65" w:name="_Toc71711528"/>
            <w:bookmarkStart w:id="66" w:name="_Toc71711552"/>
            <w:bookmarkStart w:id="67" w:name="_Toc71712134"/>
            <w:bookmarkStart w:id="68" w:name="_Toc71712158"/>
            <w:bookmarkStart w:id="69" w:name="_Toc71712167"/>
            <w:bookmarkStart w:id="70" w:name="_Toc71712191"/>
          </w:p>
        </w:tc>
        <w:tc>
          <w:tcPr>
            <w:tcW w:w="624" w:type="dxa"/>
          </w:tcPr>
          <w:p w14:paraId="0C20A6C5" w14:textId="77777777" w:rsidR="00F5295F" w:rsidRDefault="00F5295F">
            <w:pPr>
              <w:pStyle w:val="TableText"/>
              <w:keepLines w:val="0"/>
            </w:pPr>
          </w:p>
        </w:tc>
        <w:tc>
          <w:tcPr>
            <w:tcW w:w="1872" w:type="dxa"/>
          </w:tcPr>
          <w:p w14:paraId="5BAA8EFC" w14:textId="29A421ED" w:rsidR="00F5295F" w:rsidRDefault="00F5295F">
            <w:pPr>
              <w:pStyle w:val="TableInnerSideHeading"/>
            </w:pPr>
          </w:p>
        </w:tc>
        <w:tc>
          <w:tcPr>
            <w:tcW w:w="624" w:type="dxa"/>
          </w:tcPr>
          <w:p w14:paraId="393C34F6" w14:textId="75D147F1" w:rsidR="00F5295F" w:rsidRDefault="00BB0600">
            <w:pPr>
              <w:pStyle w:val="TableText"/>
            </w:pPr>
            <w:r>
              <w:rPr>
                <w:rFonts w:hint="cs"/>
                <w:rtl/>
              </w:rPr>
              <w:t>"</w:t>
            </w:r>
            <w:r w:rsidR="00F5295F">
              <w:rPr>
                <w:rFonts w:hint="cs"/>
                <w:rtl/>
              </w:rPr>
              <w:t>(ג)</w:t>
            </w:r>
          </w:p>
        </w:tc>
        <w:tc>
          <w:tcPr>
            <w:tcW w:w="4650" w:type="dxa"/>
          </w:tcPr>
          <w:p w14:paraId="55C88BEB" w14:textId="115709C7" w:rsidR="00F5295F" w:rsidRDefault="00F5295F">
            <w:pPr>
              <w:pStyle w:val="TableBlock"/>
            </w:pPr>
            <w:r>
              <w:rPr>
                <w:rFonts w:hint="cs"/>
                <w:rtl/>
              </w:rPr>
              <w:t>"מחקר ופיתוח במיזם המשותף</w:t>
            </w:r>
            <w:r w:rsidR="00240473">
              <w:rPr>
                <w:rFonts w:hint="cs"/>
                <w:rtl/>
              </w:rPr>
              <w:t>.</w:t>
            </w:r>
            <w:r>
              <w:rPr>
                <w:rFonts w:hint="cs"/>
                <w:rtl/>
              </w:rPr>
              <w:t xml:space="preserve">"  </w:t>
            </w:r>
          </w:p>
        </w:tc>
      </w:tr>
      <w:tr w:rsidR="00E95BDD" w14:paraId="435A42D9" w14:textId="77777777" w:rsidTr="005D2AE5">
        <w:trPr>
          <w:cantSplit/>
          <w:trHeight w:val="60"/>
        </w:trPr>
        <w:tc>
          <w:tcPr>
            <w:tcW w:w="1871" w:type="dxa"/>
          </w:tcPr>
          <w:p w14:paraId="61460047" w14:textId="18500B89" w:rsidR="00E95BDD" w:rsidRDefault="00FA200F" w:rsidP="002C6B3D">
            <w:pPr>
              <w:pStyle w:val="TableSideHeading"/>
              <w:keepLines w:val="0"/>
            </w:pPr>
            <w:bookmarkStart w:id="71" w:name="_Toc72401340"/>
            <w:r>
              <w:rPr>
                <w:rFonts w:hint="cs"/>
                <w:rtl/>
              </w:rPr>
              <w:t>תיקון סעיף</w:t>
            </w:r>
            <w:r w:rsidR="00E95BDD">
              <w:rPr>
                <w:rFonts w:hint="cs"/>
                <w:rtl/>
              </w:rPr>
              <w:t xml:space="preserve"> </w:t>
            </w:r>
            <w:bookmarkEnd w:id="63"/>
            <w:bookmarkEnd w:id="64"/>
            <w:r w:rsidR="002C6B3D">
              <w:rPr>
                <w:rFonts w:hint="cs"/>
                <w:rtl/>
              </w:rPr>
              <w:t>3</w:t>
            </w:r>
            <w:bookmarkEnd w:id="65"/>
            <w:bookmarkEnd w:id="66"/>
            <w:bookmarkEnd w:id="67"/>
            <w:bookmarkEnd w:id="68"/>
            <w:bookmarkEnd w:id="69"/>
            <w:bookmarkEnd w:id="70"/>
            <w:bookmarkEnd w:id="71"/>
          </w:p>
        </w:tc>
        <w:tc>
          <w:tcPr>
            <w:tcW w:w="624" w:type="dxa"/>
          </w:tcPr>
          <w:p w14:paraId="55859515" w14:textId="77777777" w:rsidR="00E95BDD" w:rsidRDefault="00E95BDD" w:rsidP="00E95BDD">
            <w:pPr>
              <w:pStyle w:val="TableText"/>
              <w:keepLines w:val="0"/>
              <w:numPr>
                <w:ilvl w:val="0"/>
                <w:numId w:val="4"/>
              </w:numPr>
            </w:pPr>
          </w:p>
        </w:tc>
        <w:tc>
          <w:tcPr>
            <w:tcW w:w="7146" w:type="dxa"/>
            <w:gridSpan w:val="3"/>
          </w:tcPr>
          <w:p w14:paraId="00B5390C" w14:textId="0483C8D6" w:rsidR="00E95BDD" w:rsidRPr="00C34DE2" w:rsidRDefault="00E95BDD" w:rsidP="002C6B3D">
            <w:pPr>
              <w:pStyle w:val="TableBlock"/>
              <w:keepLines w:val="0"/>
              <w:tabs>
                <w:tab w:val="left" w:pos="6214"/>
              </w:tabs>
            </w:pPr>
            <w:r>
              <w:rPr>
                <w:rFonts w:hint="cs"/>
                <w:rtl/>
              </w:rPr>
              <w:t xml:space="preserve">בסעיף </w:t>
            </w:r>
            <w:r w:rsidR="002C6B3D">
              <w:rPr>
                <w:rFonts w:hint="cs"/>
                <w:rtl/>
              </w:rPr>
              <w:t>3</w:t>
            </w:r>
            <w:r w:rsidR="00BF5DA3">
              <w:rPr>
                <w:rFonts w:hint="cs"/>
                <w:rtl/>
              </w:rPr>
              <w:t>(א)</w:t>
            </w:r>
            <w:r w:rsidR="002C6B3D">
              <w:rPr>
                <w:rFonts w:hint="cs"/>
                <w:rtl/>
              </w:rPr>
              <w:t xml:space="preserve"> לכללים העיקריים, במקום "להגבלים עסקיים" יבוא "לתחרות".</w:t>
            </w:r>
          </w:p>
        </w:tc>
      </w:tr>
      <w:tr w:rsidR="00AF2AAB" w14:paraId="5F0EC3E2" w14:textId="77777777" w:rsidTr="005D2AE5">
        <w:trPr>
          <w:cantSplit/>
          <w:trHeight w:val="60"/>
        </w:trPr>
        <w:tc>
          <w:tcPr>
            <w:tcW w:w="1871" w:type="dxa"/>
          </w:tcPr>
          <w:p w14:paraId="0D2E3796" w14:textId="317BD116" w:rsidR="00AF2AAB" w:rsidRDefault="00AF2AAB" w:rsidP="002C6B3D">
            <w:pPr>
              <w:pStyle w:val="TableSideHeading"/>
              <w:keepLines w:val="0"/>
              <w:rPr>
                <w:rtl/>
              </w:rPr>
            </w:pPr>
            <w:bookmarkStart w:id="72" w:name="_Toc72401341"/>
            <w:r>
              <w:rPr>
                <w:rFonts w:hint="cs"/>
                <w:rtl/>
              </w:rPr>
              <w:t>תיקון סעיף 4</w:t>
            </w:r>
            <w:bookmarkEnd w:id="72"/>
          </w:p>
        </w:tc>
        <w:tc>
          <w:tcPr>
            <w:tcW w:w="624" w:type="dxa"/>
          </w:tcPr>
          <w:p w14:paraId="41173EB3" w14:textId="77777777" w:rsidR="00AF2AAB" w:rsidRDefault="00AF2AAB" w:rsidP="00E95BDD">
            <w:pPr>
              <w:pStyle w:val="TableText"/>
              <w:keepLines w:val="0"/>
              <w:numPr>
                <w:ilvl w:val="0"/>
                <w:numId w:val="4"/>
              </w:numPr>
            </w:pPr>
          </w:p>
        </w:tc>
        <w:tc>
          <w:tcPr>
            <w:tcW w:w="7146" w:type="dxa"/>
            <w:gridSpan w:val="3"/>
          </w:tcPr>
          <w:p w14:paraId="33CD1E43" w14:textId="1512AF90" w:rsidR="00AF2AAB" w:rsidRDefault="00AF2AAB" w:rsidP="00E55FAC">
            <w:pPr>
              <w:pStyle w:val="TableBlock"/>
              <w:keepLines w:val="0"/>
              <w:tabs>
                <w:tab w:val="left" w:pos="6214"/>
              </w:tabs>
              <w:rPr>
                <w:rtl/>
              </w:rPr>
            </w:pPr>
            <w:r>
              <w:rPr>
                <w:rFonts w:hint="cs"/>
                <w:rtl/>
              </w:rPr>
              <w:t xml:space="preserve"> בסעיף 4 </w:t>
            </w:r>
            <w:r w:rsidR="00E55FAC">
              <w:rPr>
                <w:rFonts w:hint="cs"/>
                <w:rtl/>
              </w:rPr>
              <w:t>לכללים העיקריים</w:t>
            </w:r>
            <w:r w:rsidR="00F230B4">
              <w:rPr>
                <w:rFonts w:hint="cs"/>
                <w:rtl/>
              </w:rPr>
              <w:t>,</w:t>
            </w:r>
            <w:r w:rsidR="00E55FAC">
              <w:rPr>
                <w:rFonts w:hint="cs"/>
                <w:rtl/>
              </w:rPr>
              <w:t xml:space="preserve"> </w:t>
            </w:r>
            <w:r>
              <w:rPr>
                <w:rFonts w:hint="cs"/>
                <w:rtl/>
              </w:rPr>
              <w:t>במקום "</w:t>
            </w:r>
            <w:r w:rsidRPr="00AF2AAB">
              <w:rPr>
                <w:rtl/>
              </w:rPr>
              <w:t>מו"פ כהגדרתו בכללי ההגבלים העסקיים (פטור סוג להסכמים לביצוע מחקר ופיתוח), התשס"ו-2006</w:t>
            </w:r>
            <w:r w:rsidR="00E55FAC">
              <w:rPr>
                <w:rFonts w:hint="cs"/>
                <w:rtl/>
              </w:rPr>
              <w:t>" יבוא</w:t>
            </w:r>
            <w:r>
              <w:rPr>
                <w:rFonts w:hint="cs"/>
                <w:rtl/>
              </w:rPr>
              <w:t xml:space="preserve"> "למחקר ופיתוח"</w:t>
            </w:r>
            <w:r w:rsidR="00E55FAC">
              <w:rPr>
                <w:rFonts w:hint="cs"/>
                <w:rtl/>
              </w:rPr>
              <w:t>.</w:t>
            </w:r>
          </w:p>
        </w:tc>
      </w:tr>
      <w:tr w:rsidR="002C6B3D" w14:paraId="51551D04" w14:textId="77777777" w:rsidTr="005D2AE5">
        <w:trPr>
          <w:cantSplit/>
          <w:trHeight w:val="60"/>
        </w:trPr>
        <w:tc>
          <w:tcPr>
            <w:tcW w:w="1871" w:type="dxa"/>
          </w:tcPr>
          <w:p w14:paraId="0AE59BDB" w14:textId="13E01A1C" w:rsidR="002C6B3D" w:rsidRDefault="002C6B3D" w:rsidP="002C6B3D">
            <w:pPr>
              <w:pStyle w:val="TableSideHeading"/>
              <w:keepLines w:val="0"/>
              <w:rPr>
                <w:rtl/>
              </w:rPr>
            </w:pPr>
            <w:bookmarkStart w:id="73" w:name="_Toc71711529"/>
            <w:bookmarkStart w:id="74" w:name="_Toc71711553"/>
            <w:bookmarkStart w:id="75" w:name="_Toc71712135"/>
            <w:bookmarkStart w:id="76" w:name="_Toc71712159"/>
            <w:bookmarkStart w:id="77" w:name="_Toc71712168"/>
            <w:bookmarkStart w:id="78" w:name="_Toc71712192"/>
            <w:bookmarkStart w:id="79" w:name="_Toc72401342"/>
            <w:r>
              <w:rPr>
                <w:rFonts w:hint="cs"/>
                <w:rtl/>
              </w:rPr>
              <w:t>תיקון סעיף 9א</w:t>
            </w:r>
            <w:bookmarkEnd w:id="73"/>
            <w:bookmarkEnd w:id="74"/>
            <w:bookmarkEnd w:id="75"/>
            <w:bookmarkEnd w:id="76"/>
            <w:bookmarkEnd w:id="77"/>
            <w:bookmarkEnd w:id="78"/>
            <w:bookmarkEnd w:id="79"/>
          </w:p>
        </w:tc>
        <w:tc>
          <w:tcPr>
            <w:tcW w:w="624" w:type="dxa"/>
          </w:tcPr>
          <w:p w14:paraId="2598DC6E" w14:textId="77777777" w:rsidR="002C6B3D" w:rsidRDefault="002C6B3D" w:rsidP="00E95BDD">
            <w:pPr>
              <w:pStyle w:val="TableText"/>
              <w:keepLines w:val="0"/>
              <w:numPr>
                <w:ilvl w:val="0"/>
                <w:numId w:val="4"/>
              </w:numPr>
            </w:pPr>
          </w:p>
        </w:tc>
        <w:tc>
          <w:tcPr>
            <w:tcW w:w="7146" w:type="dxa"/>
            <w:gridSpan w:val="3"/>
          </w:tcPr>
          <w:p w14:paraId="744D3773" w14:textId="2EB63D98" w:rsidR="002C6B3D" w:rsidRDefault="000A1A08" w:rsidP="000A1A08">
            <w:pPr>
              <w:pStyle w:val="TableBlock"/>
              <w:keepLines w:val="0"/>
              <w:tabs>
                <w:tab w:val="left" w:pos="6214"/>
              </w:tabs>
              <w:rPr>
                <w:rtl/>
              </w:rPr>
            </w:pPr>
            <w:r>
              <w:rPr>
                <w:rFonts w:hint="cs"/>
                <w:rtl/>
              </w:rPr>
              <w:t>בסעיף 9א</w:t>
            </w:r>
            <w:r w:rsidR="00393EC8">
              <w:rPr>
                <w:rFonts w:hint="cs"/>
                <w:rtl/>
              </w:rPr>
              <w:t>(א)</w:t>
            </w:r>
            <w:r>
              <w:rPr>
                <w:rFonts w:hint="cs"/>
                <w:rtl/>
              </w:rPr>
              <w:t xml:space="preserve"> לכללים העיקריים, במקום "להגבלים עסקיים" יבוא "לתחרות".</w:t>
            </w:r>
          </w:p>
        </w:tc>
      </w:tr>
      <w:tr w:rsidR="00552E7C" w14:paraId="200D52AF" w14:textId="77777777">
        <w:trPr>
          <w:cantSplit/>
          <w:trHeight w:val="60"/>
        </w:trPr>
        <w:tc>
          <w:tcPr>
            <w:tcW w:w="1871" w:type="dxa"/>
          </w:tcPr>
          <w:p w14:paraId="7AC7F371" w14:textId="0B0F10C5" w:rsidR="00552E7C" w:rsidRDefault="00552E7C" w:rsidP="007E751D">
            <w:pPr>
              <w:pStyle w:val="TableSideHeading"/>
              <w:keepLines w:val="0"/>
            </w:pPr>
            <w:bookmarkStart w:id="80" w:name="_Toc72401343"/>
            <w:bookmarkStart w:id="81" w:name="_Toc61248058"/>
            <w:bookmarkStart w:id="82" w:name="_Toc61248080"/>
            <w:bookmarkStart w:id="83" w:name="_Toc71711530"/>
            <w:bookmarkStart w:id="84" w:name="_Toc71711554"/>
            <w:bookmarkStart w:id="85" w:name="_Toc71712136"/>
            <w:bookmarkStart w:id="86" w:name="_Toc71712160"/>
            <w:bookmarkStart w:id="87" w:name="_Toc71712169"/>
            <w:bookmarkStart w:id="88" w:name="_Toc71712193"/>
            <w:r>
              <w:rPr>
                <w:rFonts w:hint="cs"/>
                <w:rtl/>
              </w:rPr>
              <w:t>תחילה</w:t>
            </w:r>
            <w:bookmarkEnd w:id="80"/>
          </w:p>
        </w:tc>
        <w:tc>
          <w:tcPr>
            <w:tcW w:w="624" w:type="dxa"/>
          </w:tcPr>
          <w:p w14:paraId="63D3408E" w14:textId="77777777" w:rsidR="00552E7C" w:rsidRDefault="00552E7C" w:rsidP="00552E7C">
            <w:pPr>
              <w:pStyle w:val="TableText"/>
              <w:keepLines w:val="0"/>
              <w:numPr>
                <w:ilvl w:val="0"/>
                <w:numId w:val="4"/>
              </w:numPr>
            </w:pPr>
          </w:p>
        </w:tc>
        <w:tc>
          <w:tcPr>
            <w:tcW w:w="7146" w:type="dxa"/>
            <w:gridSpan w:val="3"/>
          </w:tcPr>
          <w:p w14:paraId="3A606B9E" w14:textId="18C77DCB" w:rsidR="00552E7C" w:rsidRPr="00C34DE2" w:rsidRDefault="00552E7C" w:rsidP="00AE11E8">
            <w:pPr>
              <w:pStyle w:val="TableBlock"/>
              <w:keepLines w:val="0"/>
            </w:pPr>
            <w:r>
              <w:rPr>
                <w:rFonts w:hint="cs"/>
                <w:rtl/>
              </w:rPr>
              <w:t>תחילתם של כללים אל</w:t>
            </w:r>
            <w:r w:rsidR="00AE11E8">
              <w:rPr>
                <w:rFonts w:hint="cs"/>
                <w:rtl/>
              </w:rPr>
              <w:t>ה</w:t>
            </w:r>
            <w:r>
              <w:rPr>
                <w:rFonts w:hint="cs"/>
                <w:rtl/>
              </w:rPr>
              <w:t xml:space="preserve"> ביום </w:t>
            </w:r>
            <w:r w:rsidRPr="00552E7C">
              <w:rPr>
                <w:rtl/>
              </w:rPr>
              <w:t xml:space="preserve">ט' בתשרי </w:t>
            </w:r>
            <w:proofErr w:type="spellStart"/>
            <w:r w:rsidRPr="00552E7C">
              <w:rPr>
                <w:rtl/>
              </w:rPr>
              <w:t>התשפ"ב</w:t>
            </w:r>
            <w:proofErr w:type="spellEnd"/>
            <w:r w:rsidRPr="00552E7C">
              <w:rPr>
                <w:rtl/>
              </w:rPr>
              <w:t xml:space="preserve"> (15 בספטמבר 2021)</w:t>
            </w:r>
            <w:r>
              <w:rPr>
                <w:rFonts w:hint="cs"/>
                <w:rtl/>
              </w:rPr>
              <w:t>.</w:t>
            </w:r>
          </w:p>
        </w:tc>
      </w:tr>
      <w:tr w:rsidR="0011103E" w14:paraId="3A545A17" w14:textId="77777777" w:rsidTr="005D2AE5">
        <w:trPr>
          <w:cantSplit/>
          <w:trHeight w:val="60"/>
        </w:trPr>
        <w:tc>
          <w:tcPr>
            <w:tcW w:w="1871" w:type="dxa"/>
          </w:tcPr>
          <w:p w14:paraId="15CBA486" w14:textId="48D67356" w:rsidR="0011103E" w:rsidRDefault="0011103E" w:rsidP="007E751D">
            <w:pPr>
              <w:pStyle w:val="TableSideHeading"/>
              <w:keepLines w:val="0"/>
            </w:pPr>
            <w:bookmarkStart w:id="89" w:name="_Toc72401344"/>
            <w:r>
              <w:rPr>
                <w:rFonts w:hint="cs"/>
                <w:rtl/>
              </w:rPr>
              <w:t>תוקף</w:t>
            </w:r>
            <w:bookmarkEnd w:id="81"/>
            <w:bookmarkEnd w:id="82"/>
            <w:bookmarkEnd w:id="83"/>
            <w:bookmarkEnd w:id="84"/>
            <w:bookmarkEnd w:id="85"/>
            <w:bookmarkEnd w:id="86"/>
            <w:bookmarkEnd w:id="87"/>
            <w:bookmarkEnd w:id="88"/>
            <w:bookmarkEnd w:id="89"/>
          </w:p>
        </w:tc>
        <w:tc>
          <w:tcPr>
            <w:tcW w:w="624" w:type="dxa"/>
          </w:tcPr>
          <w:p w14:paraId="407374F5" w14:textId="77777777" w:rsidR="0011103E" w:rsidRDefault="0011103E" w:rsidP="0011103E">
            <w:pPr>
              <w:pStyle w:val="TableText"/>
              <w:keepLines w:val="0"/>
              <w:numPr>
                <w:ilvl w:val="0"/>
                <w:numId w:val="4"/>
              </w:numPr>
            </w:pPr>
          </w:p>
        </w:tc>
        <w:tc>
          <w:tcPr>
            <w:tcW w:w="7146" w:type="dxa"/>
            <w:gridSpan w:val="3"/>
          </w:tcPr>
          <w:p w14:paraId="285AB166" w14:textId="1B928C96" w:rsidR="0011103E" w:rsidRPr="00C34DE2" w:rsidRDefault="000A1A08" w:rsidP="007E751D">
            <w:pPr>
              <w:pStyle w:val="TableBlock"/>
              <w:keepLines w:val="0"/>
            </w:pPr>
            <w:r w:rsidRPr="00BC4A54">
              <w:rPr>
                <w:rFonts w:hint="cs"/>
                <w:rtl/>
              </w:rPr>
              <w:t xml:space="preserve">תוקף כללים אלה עד יום </w:t>
            </w:r>
            <w:r w:rsidRPr="00BC4A54">
              <w:rPr>
                <w:rtl/>
              </w:rPr>
              <w:t>ד'</w:t>
            </w:r>
            <w:r>
              <w:rPr>
                <w:rtl/>
              </w:rPr>
              <w:t xml:space="preserve"> בתשרי </w:t>
            </w:r>
            <w:proofErr w:type="spellStart"/>
            <w:r>
              <w:rPr>
                <w:rtl/>
              </w:rPr>
              <w:t>התשפ"ז</w:t>
            </w:r>
            <w:proofErr w:type="spellEnd"/>
            <w:r>
              <w:rPr>
                <w:rtl/>
              </w:rPr>
              <w:t xml:space="preserve"> (15 בספטמבר 2026)</w:t>
            </w:r>
            <w:r w:rsidRPr="00BC4A54">
              <w:rPr>
                <w:rtl/>
              </w:rPr>
              <w:t>.</w:t>
            </w:r>
          </w:p>
        </w:tc>
      </w:tr>
    </w:tbl>
    <w:p w14:paraId="5110FB7F" w14:textId="77777777" w:rsidR="003A35C0" w:rsidRDefault="003A35C0" w:rsidP="00307E94"/>
    <w:p w14:paraId="138D1A7F" w14:textId="77777777" w:rsidR="003A35C0" w:rsidRDefault="003A35C0" w:rsidP="00307E94">
      <w:pPr>
        <w:rPr>
          <w:rtl/>
        </w:rPr>
      </w:pPr>
    </w:p>
    <w:p w14:paraId="273E2812" w14:textId="77777777" w:rsidR="003A35C0" w:rsidRDefault="003A35C0" w:rsidP="00307E94">
      <w:pPr>
        <w:rPr>
          <w:rFonts w:eastAsia="Calibri"/>
          <w:rtl/>
        </w:rPr>
      </w:pPr>
      <w:r>
        <w:rPr>
          <w:rFonts w:eastAsia="Calibri" w:hint="cs"/>
          <w:rtl/>
        </w:rPr>
        <w:t>___ ב________ התש_______ (___ ב________ ____20)</w:t>
      </w:r>
    </w:p>
    <w:p w14:paraId="1693FB48" w14:textId="77777777" w:rsidR="003A35C0" w:rsidRDefault="003A35C0" w:rsidP="00307E94">
      <w:pPr>
        <w:rPr>
          <w:rFonts w:eastAsia="Calibri"/>
          <w:rtl/>
        </w:rPr>
      </w:pPr>
      <w:r>
        <w:rPr>
          <w:rFonts w:eastAsia="Calibri" w:hint="cs"/>
          <w:rtl/>
        </w:rPr>
        <w:t>[תאריך עברי] ([תאריך לועזי])</w:t>
      </w:r>
    </w:p>
    <w:p w14:paraId="461BAA3C" w14:textId="77777777" w:rsidR="003A35C0" w:rsidRDefault="003A35C0" w:rsidP="00307E94">
      <w:pPr>
        <w:rPr>
          <w:rFonts w:eastAsia="Calibri"/>
          <w:rtl/>
        </w:rPr>
      </w:pPr>
      <w:r>
        <w:rPr>
          <w:rFonts w:eastAsia="Calibri" w:hint="cs"/>
          <w:rtl/>
        </w:rPr>
        <w:t>(</w:t>
      </w:r>
      <w:proofErr w:type="spellStart"/>
      <w:r>
        <w:rPr>
          <w:rFonts w:eastAsia="Calibri" w:hint="cs"/>
          <w:rtl/>
        </w:rPr>
        <w:t>חמ</w:t>
      </w:r>
      <w:proofErr w:type="spellEnd"/>
      <w:r>
        <w:rPr>
          <w:rFonts w:eastAsia="Calibri" w:hint="cs"/>
          <w:rtl/>
        </w:rPr>
        <w:t xml:space="preserve"> _____-3)</w:t>
      </w:r>
    </w:p>
    <w:p w14:paraId="2E5E98AA" w14:textId="77777777" w:rsidR="003A35C0" w:rsidRDefault="003A35C0" w:rsidP="00307E94">
      <w:pPr>
        <w:rPr>
          <w:rFonts w:eastAsia="Calibri"/>
          <w:rtl/>
        </w:rPr>
      </w:pPr>
    </w:p>
    <w:p w14:paraId="5BF60785" w14:textId="77777777" w:rsidR="000A1A08" w:rsidRDefault="000A1A08" w:rsidP="000A1A08">
      <w:pPr>
        <w:ind w:left="5760"/>
        <w:jc w:val="center"/>
        <w:rPr>
          <w:rFonts w:eastAsia="Calibri"/>
          <w:rtl/>
        </w:rPr>
      </w:pPr>
      <w:bookmarkStart w:id="90" w:name="_Toc61248059"/>
      <w:bookmarkStart w:id="91" w:name="_Toc61248081"/>
      <w:r>
        <w:rPr>
          <w:rFonts w:eastAsia="Calibri" w:hint="cs"/>
          <w:rtl/>
        </w:rPr>
        <w:t>__________________</w:t>
      </w:r>
    </w:p>
    <w:p w14:paraId="088B7062" w14:textId="77777777" w:rsidR="000A1A08" w:rsidRDefault="000A1A08" w:rsidP="000A1A08">
      <w:pPr>
        <w:ind w:left="5760"/>
        <w:jc w:val="center"/>
        <w:rPr>
          <w:rFonts w:eastAsia="Calibri"/>
          <w:rtl/>
        </w:rPr>
      </w:pPr>
      <w:r>
        <w:rPr>
          <w:rFonts w:eastAsia="Calibri" w:hint="cs"/>
          <w:rtl/>
        </w:rPr>
        <w:t>מיכל הלפרין</w:t>
      </w:r>
    </w:p>
    <w:p w14:paraId="686304C4" w14:textId="77777777" w:rsidR="000A1A08" w:rsidRDefault="000A1A08" w:rsidP="000A1A08">
      <w:pPr>
        <w:ind w:left="5760"/>
        <w:jc w:val="center"/>
        <w:rPr>
          <w:rFonts w:eastAsia="Calibri"/>
          <w:rtl/>
        </w:rPr>
      </w:pPr>
      <w:r>
        <w:rPr>
          <w:rFonts w:eastAsia="Calibri" w:hint="cs"/>
          <w:rtl/>
        </w:rPr>
        <w:t>הממונה על התחרות</w:t>
      </w:r>
    </w:p>
    <w:p w14:paraId="39BAB0A4" w14:textId="77777777" w:rsidR="000A1A08" w:rsidRPr="00C640AA" w:rsidRDefault="000A1A08" w:rsidP="000A1A08">
      <w:pPr>
        <w:rPr>
          <w:rtl/>
        </w:rPr>
      </w:pPr>
    </w:p>
    <w:p w14:paraId="4A174A76" w14:textId="77777777" w:rsidR="000A1A08" w:rsidRDefault="000A1A08" w:rsidP="000A1A08">
      <w:pPr>
        <w:rPr>
          <w:rFonts w:eastAsia="Calibri"/>
          <w:rtl/>
        </w:rPr>
      </w:pPr>
    </w:p>
    <w:p w14:paraId="7A906442" w14:textId="77777777" w:rsidR="000A1A08" w:rsidRDefault="000A1A08" w:rsidP="000A1A08">
      <w:pPr>
        <w:ind w:left="5760"/>
        <w:jc w:val="center"/>
        <w:rPr>
          <w:rFonts w:eastAsia="Calibri"/>
          <w:rtl/>
        </w:rPr>
      </w:pPr>
      <w:r>
        <w:rPr>
          <w:rFonts w:eastAsia="Calibri" w:hint="cs"/>
          <w:rtl/>
        </w:rPr>
        <w:t>__________________</w:t>
      </w:r>
    </w:p>
    <w:p w14:paraId="10633E8D" w14:textId="77777777" w:rsidR="000A1A08" w:rsidRDefault="000A1A08" w:rsidP="000A1A08">
      <w:pPr>
        <w:ind w:left="5760"/>
        <w:jc w:val="center"/>
        <w:rPr>
          <w:rFonts w:eastAsia="Calibri"/>
          <w:rtl/>
        </w:rPr>
      </w:pPr>
      <w:r>
        <w:rPr>
          <w:rFonts w:eastAsia="Calibri" w:hint="cs"/>
          <w:rtl/>
        </w:rPr>
        <w:t>[שם מלא של המתקין]</w:t>
      </w:r>
    </w:p>
    <w:p w14:paraId="4A636364" w14:textId="77777777" w:rsidR="000A1A08" w:rsidRDefault="000A1A08" w:rsidP="000A1A08">
      <w:pPr>
        <w:ind w:left="5760"/>
        <w:jc w:val="center"/>
        <w:rPr>
          <w:rFonts w:eastAsia="Calibri"/>
          <w:rtl/>
        </w:rPr>
      </w:pPr>
      <w:r>
        <w:rPr>
          <w:rFonts w:eastAsia="Calibri" w:hint="cs"/>
          <w:rtl/>
        </w:rPr>
        <w:t>שר הכלכלה</w:t>
      </w:r>
    </w:p>
    <w:p w14:paraId="031561FB" w14:textId="77777777" w:rsidR="003A35C0" w:rsidRDefault="003A35C0" w:rsidP="00307E94">
      <w:pPr>
        <w:pStyle w:val="HeadDivreiHesber"/>
        <w:rPr>
          <w:rtl/>
        </w:rPr>
      </w:pPr>
      <w:bookmarkStart w:id="92" w:name="_Toc71711531"/>
      <w:bookmarkStart w:id="93" w:name="_Toc71711555"/>
      <w:bookmarkStart w:id="94" w:name="_Toc71712137"/>
      <w:bookmarkStart w:id="95" w:name="_Toc71712161"/>
      <w:bookmarkStart w:id="96" w:name="_Toc71712170"/>
      <w:bookmarkStart w:id="97" w:name="_Toc71712194"/>
      <w:bookmarkStart w:id="98" w:name="_Toc72401345"/>
      <w:r>
        <w:rPr>
          <w:rtl/>
        </w:rPr>
        <w:t>דברי הסבר</w:t>
      </w:r>
      <w:bookmarkEnd w:id="90"/>
      <w:bookmarkEnd w:id="91"/>
      <w:bookmarkEnd w:id="92"/>
      <w:bookmarkEnd w:id="93"/>
      <w:bookmarkEnd w:id="94"/>
      <w:bookmarkEnd w:id="95"/>
      <w:bookmarkEnd w:id="96"/>
      <w:bookmarkEnd w:id="97"/>
      <w:bookmarkEnd w:id="98"/>
    </w:p>
    <w:p w14:paraId="29059F40" w14:textId="77777777" w:rsidR="00BE4E3D" w:rsidRDefault="00BE4E3D" w:rsidP="00BE4E3D">
      <w:pPr>
        <w:spacing w:before="100" w:beforeAutospacing="1" w:after="100" w:afterAutospacing="1"/>
        <w:rPr>
          <w:rFonts w:ascii="Arial" w:hAnsi="Arial"/>
          <w:sz w:val="22"/>
          <w:rtl/>
        </w:rPr>
      </w:pPr>
      <w:r>
        <w:rPr>
          <w:rFonts w:hint="cs"/>
          <w:rtl/>
        </w:rPr>
        <w:t xml:space="preserve">כללי התחרות הכלכלית (פטור סוג למיזמים משותפים) (הוראת שעה) (תיקון), התשפ"א-2021 מטמיעים מספר תיקונים בכללי ההגבלים העסקיים (פטור סוג למיזמים משותפים), תשס"ו-2006 (להלן </w:t>
      </w:r>
      <w:r>
        <w:rPr>
          <w:rFonts w:hint="cs"/>
          <w:b/>
          <w:bCs/>
          <w:rtl/>
        </w:rPr>
        <w:t>פטור הסוג</w:t>
      </w:r>
      <w:r w:rsidRPr="009A20C1">
        <w:rPr>
          <w:rFonts w:hint="cs"/>
          <w:rtl/>
        </w:rPr>
        <w:t>)</w:t>
      </w:r>
      <w:r>
        <w:rPr>
          <w:rFonts w:hint="cs"/>
          <w:rtl/>
        </w:rPr>
        <w:t xml:space="preserve">. </w:t>
      </w:r>
    </w:p>
    <w:p w14:paraId="57BB19A3" w14:textId="626A3717" w:rsidR="00BE4E3D" w:rsidRDefault="00BE4E3D" w:rsidP="00213588">
      <w:pPr>
        <w:rPr>
          <w:rtl/>
        </w:rPr>
      </w:pPr>
      <w:r>
        <w:rPr>
          <w:rFonts w:hint="cs"/>
          <w:rtl/>
        </w:rPr>
        <w:t xml:space="preserve">פטור הסוג קבוע בהתאם לסעיף 15א לחוק התחרות הכלכלית, התשמ"ח-1988 (להלן </w:t>
      </w:r>
      <w:r>
        <w:rPr>
          <w:rFonts w:hint="cs"/>
          <w:b/>
          <w:bCs/>
          <w:rtl/>
        </w:rPr>
        <w:t>החוק</w:t>
      </w:r>
      <w:r>
        <w:rPr>
          <w:rFonts w:hint="cs"/>
          <w:rtl/>
        </w:rPr>
        <w:t xml:space="preserve">). </w:t>
      </w:r>
      <w:r w:rsidRPr="008A0EBC">
        <w:rPr>
          <w:rtl/>
        </w:rPr>
        <w:t>מיזם משותף מוגדר בפטור הסוג בצורה כללית ורחבה כ"הסכם לשיתוף פעולה בייצור טובין, שיווקם או רכישתם". תחת הגדרה זו יכולה לחסות קשת רחבה של הסדרים, כמו הסדרים לייצור משותף של מוצר סופי או רכיב כלשהו בייצורו, הסדרים לרכש משותף של תשומה, וכ</w:t>
      </w:r>
      <w:r w:rsidR="005D2AE5">
        <w:rPr>
          <w:rFonts w:hint="cs"/>
          <w:rtl/>
        </w:rPr>
        <w:t>ן</w:t>
      </w:r>
      <w:r w:rsidRPr="008A0EBC">
        <w:rPr>
          <w:rtl/>
        </w:rPr>
        <w:t xml:space="preserve"> הסדרים המייעלים תהליכ</w:t>
      </w:r>
      <w:r>
        <w:rPr>
          <w:rtl/>
        </w:rPr>
        <w:t>ים ומאפשרים לצדדים להם ל</w:t>
      </w:r>
      <w:r>
        <w:rPr>
          <w:rFonts w:hint="cs"/>
          <w:rtl/>
        </w:rPr>
        <w:t>י</w:t>
      </w:r>
      <w:r>
        <w:rPr>
          <w:rtl/>
        </w:rPr>
        <w:t>הנות</w:t>
      </w:r>
      <w:r w:rsidRPr="008A0EBC">
        <w:rPr>
          <w:rtl/>
        </w:rPr>
        <w:t xml:space="preserve"> מיתרונות לגודל ולמגוון ברכש חומרי גלם, ייצור המוצרים או אספקתם, </w:t>
      </w:r>
      <w:r>
        <w:rPr>
          <w:rFonts w:hint="cs"/>
          <w:rtl/>
        </w:rPr>
        <w:t>ללא מיזוג ביניהם</w:t>
      </w:r>
      <w:r w:rsidRPr="008A0EBC">
        <w:rPr>
          <w:rtl/>
        </w:rPr>
        <w:t>. מובן שגם איחוד פעולות במסגרת מיזם</w:t>
      </w:r>
      <w:r>
        <w:rPr>
          <w:rFonts w:hint="cs"/>
          <w:rtl/>
        </w:rPr>
        <w:t xml:space="preserve"> שאיננו עולה כדי מיזוג </w:t>
      </w:r>
      <w:r w:rsidRPr="008A0EBC">
        <w:rPr>
          <w:rtl/>
        </w:rPr>
        <w:t>עלול</w:t>
      </w:r>
      <w:r w:rsidR="00005F31">
        <w:rPr>
          <w:rFonts w:hint="cs"/>
          <w:rtl/>
        </w:rPr>
        <w:t xml:space="preserve"> במקרים רבים</w:t>
      </w:r>
      <w:r w:rsidRPr="008A0EBC">
        <w:rPr>
          <w:rtl/>
        </w:rPr>
        <w:t xml:space="preserve"> להפחית את התחרות, </w:t>
      </w:r>
      <w:r>
        <w:rPr>
          <w:rFonts w:hint="cs"/>
          <w:rtl/>
        </w:rPr>
        <w:t>הן</w:t>
      </w:r>
      <w:r w:rsidRPr="008A0EBC">
        <w:rPr>
          <w:rtl/>
        </w:rPr>
        <w:t xml:space="preserve"> בין הצדדים</w:t>
      </w:r>
      <w:r>
        <w:rPr>
          <w:rFonts w:hint="cs"/>
          <w:rtl/>
        </w:rPr>
        <w:t xml:space="preserve"> למיזם, הן </w:t>
      </w:r>
      <w:r w:rsidRPr="008A0EBC">
        <w:rPr>
          <w:rtl/>
        </w:rPr>
        <w:t>בין אלה הקשורים בהם</w:t>
      </w:r>
      <w:r>
        <w:rPr>
          <w:rFonts w:hint="cs"/>
          <w:rtl/>
        </w:rPr>
        <w:t xml:space="preserve"> והן בין מי מהצדדים לבין מתחריו בשווקים השונים</w:t>
      </w:r>
      <w:r w:rsidRPr="008A0EBC">
        <w:rPr>
          <w:rtl/>
        </w:rPr>
        <w:t xml:space="preserve">. </w:t>
      </w:r>
      <w:r>
        <w:rPr>
          <w:rFonts w:hint="cs"/>
          <w:rtl/>
        </w:rPr>
        <w:t xml:space="preserve">לכן מיזם משותף כאמור יוכל לחסות תחת פטור הסוג אך </w:t>
      </w:r>
      <w:r>
        <w:rPr>
          <w:rFonts w:hint="cs"/>
          <w:rtl/>
        </w:rPr>
        <w:lastRenderedPageBreak/>
        <w:t>ורק אם אין בו כדי לפגוע פגיעה משמעותית בתחרות, אם עיקרו איננו בהפחתת התחרות ואם אין בו כבילות שאינן נחוצות למימוש ע</w:t>
      </w:r>
      <w:r w:rsidR="00D91961">
        <w:rPr>
          <w:rFonts w:hint="cs"/>
          <w:rtl/>
        </w:rPr>
        <w:t>י</w:t>
      </w:r>
      <w:r>
        <w:rPr>
          <w:rFonts w:hint="cs"/>
          <w:rtl/>
        </w:rPr>
        <w:t xml:space="preserve">קרו. </w:t>
      </w:r>
    </w:p>
    <w:p w14:paraId="3FD375AE" w14:textId="77777777" w:rsidR="00BE4E3D" w:rsidRDefault="00BE4E3D" w:rsidP="00BE4E3D">
      <w:pPr>
        <w:spacing w:before="100" w:beforeAutospacing="1" w:after="100" w:afterAutospacing="1"/>
        <w:rPr>
          <w:rFonts w:ascii="Arial" w:hAnsi="Arial"/>
        </w:rPr>
      </w:pPr>
      <w:r>
        <w:rPr>
          <w:rFonts w:hint="cs"/>
          <w:rtl/>
        </w:rPr>
        <w:t>סעיפים 2-9 לפטור הסוג קובעים כללים הנוגעים לצדדים להסדר,</w:t>
      </w:r>
      <w:r>
        <w:rPr>
          <w:rStyle w:val="FootnoteReference"/>
          <w:rtl/>
        </w:rPr>
        <w:footnoteReference w:id="9"/>
      </w:r>
      <w:r>
        <w:rPr>
          <w:rFonts w:hint="cs"/>
          <w:rtl/>
        </w:rPr>
        <w:t xml:space="preserve"> לאופיו של השוק מושא המיזם,</w:t>
      </w:r>
      <w:r>
        <w:rPr>
          <w:rStyle w:val="FootnoteReference"/>
          <w:rtl/>
        </w:rPr>
        <w:footnoteReference w:id="10"/>
      </w:r>
      <w:r>
        <w:rPr>
          <w:rFonts w:hint="cs"/>
          <w:rtl/>
        </w:rPr>
        <w:t xml:space="preserve"> או לתנאים הכלולים במסגרת הסכם שיתוף הפעולה בין הצדדים.</w:t>
      </w:r>
      <w:r>
        <w:rPr>
          <w:rStyle w:val="FootnoteReference"/>
          <w:rtl/>
        </w:rPr>
        <w:footnoteReference w:id="11"/>
      </w:r>
      <w:r>
        <w:rPr>
          <w:rFonts w:hint="cs"/>
          <w:rtl/>
        </w:rPr>
        <w:t xml:space="preserve"> על פי פטור הסוג התקיימותם של כללים אלו בהסדר מלמדת כי בהסדר מתקיימים התנאים המנויים בסעיף 15א לחוק דהיינו: (1) </w:t>
      </w:r>
      <w:r>
        <w:rPr>
          <w:rFonts w:ascii="Arial" w:hAnsi="Arial" w:hint="cs"/>
          <w:rtl/>
        </w:rPr>
        <w:t xml:space="preserve"> עיקרו של ההסדר אינו בהפחתת התחרות או במניעתה ואין בהסדר כבילות שאינן נחוצות למימוש עיקרו; וכן (2) הכבילות שבהסדר אינן מגבילות את התחרות בחלק ניכר של שוק המושפע מן ההסדר, או שהן עלולות להגביל את התחרות בחלק ניכר משוק כאמור, אך אין בהן כדי לפגוע פגיעה משמעותית בתחרות בשוק כאמור.</w:t>
      </w:r>
      <w:r>
        <w:rPr>
          <w:rStyle w:val="FootnoteReference"/>
          <w:rFonts w:ascii="Arial" w:hAnsi="Arial"/>
          <w:rtl/>
        </w:rPr>
        <w:footnoteReference w:id="12"/>
      </w:r>
      <w:r>
        <w:rPr>
          <w:rFonts w:ascii="Arial" w:hAnsi="Arial" w:hint="cs"/>
          <w:rtl/>
        </w:rPr>
        <w:t xml:space="preserve"> על רקע זה, מוסמכת הממונה על התחרות לקבוע כללי פטור סוג מכוח סעיף 15א לחוק.</w:t>
      </w:r>
    </w:p>
    <w:p w14:paraId="2E566A88" w14:textId="77777777" w:rsidR="00BE4E3D" w:rsidRDefault="00BE4E3D" w:rsidP="00BE4E3D">
      <w:pPr>
        <w:rPr>
          <w:rtl/>
        </w:rPr>
      </w:pPr>
      <w:r>
        <w:rPr>
          <w:rFonts w:ascii="Arial" w:hAnsi="Arial" w:hint="cs"/>
          <w:rtl/>
        </w:rPr>
        <w:t xml:space="preserve">בצד הבחינה על פי סעיפים 2-9 לפטור הסוג, נוסף בשנת 2018 לפטור הסוג סעיף 9א. סעיף 9א קובע כי מבלי לגרוע מן הפטורים הקבועים בסעיפים 2 ו-3, סוגים מסוימים של מיזמים משותפים יהיו פטורים מהחובה לקבל אישור של בית הדין לתחרות, אם יתקיימו לגביהם שני התנאים המהותיים המנויים בסעיף 15א לחוק.  </w:t>
      </w:r>
      <w:r>
        <w:rPr>
          <w:rFonts w:hint="cs"/>
          <w:rtl/>
        </w:rPr>
        <w:t xml:space="preserve">  </w:t>
      </w:r>
    </w:p>
    <w:p w14:paraId="24B61D39" w14:textId="1E184D43" w:rsidR="00BE4E3D" w:rsidRDefault="00BE4E3D" w:rsidP="00DB783A">
      <w:pPr>
        <w:ind w:left="392"/>
        <w:rPr>
          <w:rtl/>
        </w:rPr>
      </w:pPr>
      <w:r w:rsidRPr="00424059">
        <w:rPr>
          <w:rFonts w:hint="cs"/>
          <w:rtl/>
        </w:rPr>
        <w:t>פטור הסוג קובע כי מיזם משותף בין מתחרים הנוגע לשיווק טובין לגביו הצדדים מתחרים, לא ייהנה מפטור מכוח סעיף 9א ואף לא מכוח סעיף 3 לפטור כאמור, אלא אם כן הצדדים למיזם איחדו במסגרת המיזם המשותף מושא הפטור את כל פעילותם העסקית בייצור או בייבוא הטובין. זאת נוכח החששות התחרותיים המוגברים הנובעים מהסדרים אלה.</w:t>
      </w:r>
      <w:r w:rsidRPr="00424059">
        <w:rPr>
          <w:vertAlign w:val="superscript"/>
          <w:rtl/>
        </w:rPr>
        <w:footnoteReference w:id="13"/>
      </w:r>
      <w:r w:rsidRPr="00424059">
        <w:rPr>
          <w:rFonts w:hint="cs"/>
          <w:vertAlign w:val="superscript"/>
          <w:rtl/>
        </w:rPr>
        <w:t xml:space="preserve"> </w:t>
      </w:r>
      <w:r>
        <w:rPr>
          <w:rFonts w:hint="cs"/>
          <w:rtl/>
        </w:rPr>
        <w:t>לכן ככלל,</w:t>
      </w:r>
      <w:r w:rsidRPr="00424059">
        <w:rPr>
          <w:rFonts w:hint="cs"/>
          <w:rtl/>
        </w:rPr>
        <w:t xml:space="preserve"> מיזמים משותפים בין </w:t>
      </w:r>
      <w:r w:rsidRPr="00424059">
        <w:rPr>
          <w:rFonts w:hint="cs"/>
          <w:rtl/>
        </w:rPr>
        <w:lastRenderedPageBreak/>
        <w:t xml:space="preserve">מתחרים אשר נוגעים לשיווק טובין משוק מוצר בו הם מתחרים ימשיכו להידרש לפטור פרטני ממערך </w:t>
      </w:r>
      <w:r>
        <w:rPr>
          <w:rFonts w:hint="cs"/>
          <w:rtl/>
        </w:rPr>
        <w:t>הפיקוח על התחרות</w:t>
      </w:r>
      <w:r w:rsidRPr="00424059">
        <w:rPr>
          <w:rFonts w:hint="cs"/>
          <w:rtl/>
        </w:rPr>
        <w:t xml:space="preserve"> כתנאי לחוקיותם.</w:t>
      </w:r>
      <w:r w:rsidRPr="00424059">
        <w:rPr>
          <w:vertAlign w:val="superscript"/>
          <w:rtl/>
        </w:rPr>
        <w:footnoteReference w:id="14"/>
      </w:r>
      <w:r w:rsidRPr="00424059">
        <w:rPr>
          <w:rFonts w:hint="cs"/>
          <w:vertAlign w:val="superscript"/>
          <w:rtl/>
        </w:rPr>
        <w:t xml:space="preserve"> </w:t>
      </w:r>
    </w:p>
    <w:p w14:paraId="798BD052" w14:textId="74E1A756" w:rsidR="00BE4E3D" w:rsidRDefault="00BE4E3D" w:rsidP="00BE4E3D">
      <w:pPr>
        <w:ind w:left="392"/>
        <w:rPr>
          <w:rtl/>
        </w:rPr>
      </w:pPr>
      <w:r>
        <w:rPr>
          <w:rFonts w:hint="cs"/>
          <w:rtl/>
        </w:rPr>
        <w:t xml:space="preserve">ואולם, פטור הסוג לא מכוון ליצירת אנומליה שבה צדדים המקימים מיזם משותף לייצור או לייבוא טובין </w:t>
      </w:r>
      <w:r>
        <w:rPr>
          <w:rtl/>
        </w:rPr>
        <w:t>–</w:t>
      </w:r>
      <w:r>
        <w:rPr>
          <w:rFonts w:hint="cs"/>
          <w:rtl/>
        </w:rPr>
        <w:t xml:space="preserve"> חייבים לפצל את השיווק של אלו לתאגידים נפרדים, שאינם קשורים למיזם. משכך, קובע פטור הסוג כי מקום בו מתחרים שהם צדדים למיזם משותף בתחום התחרות איחדו במסגרת המיזם המשותף את כל  פעילותם העסקית בייצור או ביבוא של מוצר או שירות מסוים, הם יוכלו לאחד אף את פעילות השיווק של אותו מוצר או שירות, ופטור הסוג ימשיך לחול עליהם. זאת כמובן כאשר מתקיימים ביחס להסדר כל יתר התנאים הרלוונטיים המנויים בפטור הסוג. </w:t>
      </w:r>
    </w:p>
    <w:p w14:paraId="0FDD91F8" w14:textId="42359728" w:rsidR="008D1B3A" w:rsidRDefault="008D1B3A" w:rsidP="00BE4E3D">
      <w:pPr>
        <w:ind w:left="392"/>
        <w:rPr>
          <w:rtl/>
        </w:rPr>
      </w:pPr>
      <w:r>
        <w:rPr>
          <w:rFonts w:hint="cs"/>
          <w:rtl/>
        </w:rPr>
        <w:t xml:space="preserve">פטור הסוג עתיד לפקוע ביום </w:t>
      </w:r>
      <w:r w:rsidRPr="0066221C">
        <w:rPr>
          <w:rtl/>
        </w:rPr>
        <w:t xml:space="preserve">ט' בתשרי </w:t>
      </w:r>
      <w:proofErr w:type="spellStart"/>
      <w:r w:rsidRPr="0066221C">
        <w:rPr>
          <w:rtl/>
        </w:rPr>
        <w:t>התשפ"ב</w:t>
      </w:r>
      <w:proofErr w:type="spellEnd"/>
      <w:r w:rsidRPr="0066221C">
        <w:rPr>
          <w:rtl/>
        </w:rPr>
        <w:t xml:space="preserve"> (15 בספטמבר 2021)</w:t>
      </w:r>
      <w:r>
        <w:rPr>
          <w:rFonts w:hint="cs"/>
          <w:rtl/>
        </w:rPr>
        <w:t>.</w:t>
      </w:r>
    </w:p>
    <w:p w14:paraId="03C3D7F9" w14:textId="709DFB1B" w:rsidR="00BE4E3D" w:rsidRDefault="00C80B6C" w:rsidP="00BE4E3D">
      <w:pPr>
        <w:ind w:left="392"/>
        <w:rPr>
          <w:rtl/>
        </w:rPr>
      </w:pPr>
      <w:r>
        <w:rPr>
          <w:rFonts w:hint="cs"/>
          <w:rtl/>
        </w:rPr>
        <w:t>מטרת התיקון המוצע היא להאריך את תוקפם של הכללים בהוראת שעה לחמש שנים נוספות. כן נועד התיקון לכלול במסגרת פטור סוג זה גם מיזמים משותפים מסוג של הסכמי מחקר ופיתוח, שחוסים כיום בגדרו של פטור סוג ייעודי, על אף היותם מקרה פרטי של מיזם משותף. כן מוצע ולהתאים את נוסחם של הכללים לתיקון מס' 21 לחוק התחרות הכלכלית, התשמ"ח-1988, שבמסגרתו שונה, בין היתר, שם החוק ל"חוק התחרות הכלכלית" ושמו של בית הדין ל"בית הדין לתחרות".</w:t>
      </w:r>
    </w:p>
    <w:p w14:paraId="0B411A71" w14:textId="77777777" w:rsidR="00BE4E3D" w:rsidRDefault="00BE4E3D" w:rsidP="00BE4E3D">
      <w:pPr>
        <w:ind w:left="392"/>
      </w:pPr>
      <w:r>
        <w:rPr>
          <w:rFonts w:hint="cs"/>
          <w:rtl/>
        </w:rPr>
        <w:t xml:space="preserve">  </w:t>
      </w:r>
    </w:p>
    <w:p w14:paraId="339E3EAE" w14:textId="5DBA39E8" w:rsidR="00BE4E3D" w:rsidRPr="007C5A3E" w:rsidRDefault="00BD35AA" w:rsidP="00700822">
      <w:pPr>
        <w:ind w:left="392"/>
        <w:rPr>
          <w:b/>
          <w:bCs/>
          <w:rtl/>
        </w:rPr>
      </w:pPr>
      <w:r>
        <w:rPr>
          <w:rFonts w:hint="cs"/>
          <w:b/>
          <w:bCs/>
          <w:rtl/>
        </w:rPr>
        <w:t xml:space="preserve">סעיפים </w:t>
      </w:r>
      <w:r w:rsidR="00700822">
        <w:rPr>
          <w:rFonts w:hint="cs"/>
          <w:b/>
          <w:bCs/>
          <w:rtl/>
        </w:rPr>
        <w:t>3, 5</w:t>
      </w:r>
      <w:r>
        <w:rPr>
          <w:rFonts w:hint="cs"/>
          <w:b/>
          <w:bCs/>
          <w:rtl/>
        </w:rPr>
        <w:t xml:space="preserve"> ו-</w:t>
      </w:r>
      <w:r w:rsidR="0017476C">
        <w:rPr>
          <w:rFonts w:hint="cs"/>
          <w:b/>
          <w:bCs/>
          <w:rtl/>
        </w:rPr>
        <w:t xml:space="preserve">7 </w:t>
      </w:r>
      <w:r>
        <w:rPr>
          <w:b/>
          <w:bCs/>
          <w:rtl/>
        </w:rPr>
        <w:t>–</w:t>
      </w:r>
      <w:r>
        <w:rPr>
          <w:rFonts w:hint="cs"/>
          <w:b/>
          <w:bCs/>
          <w:rtl/>
        </w:rPr>
        <w:t xml:space="preserve"> תיקונים בעקבות </w:t>
      </w:r>
      <w:r w:rsidR="00BE4E3D">
        <w:rPr>
          <w:rFonts w:hint="cs"/>
          <w:b/>
          <w:bCs/>
          <w:rtl/>
        </w:rPr>
        <w:t xml:space="preserve">אי חידושו של פטור הסוג למחקר ופיתוח </w:t>
      </w:r>
    </w:p>
    <w:p w14:paraId="58D76DE1" w14:textId="7EF52574" w:rsidR="00BE4E3D" w:rsidRDefault="00BE4E3D" w:rsidP="00D91961">
      <w:pPr>
        <w:rPr>
          <w:rtl/>
        </w:rPr>
      </w:pPr>
      <w:r>
        <w:rPr>
          <w:rFonts w:hint="cs"/>
          <w:rtl/>
        </w:rPr>
        <w:t xml:space="preserve">במסגרת </w:t>
      </w:r>
      <w:r w:rsidR="00C80B6C">
        <w:rPr>
          <w:rFonts w:hint="cs"/>
          <w:rtl/>
        </w:rPr>
        <w:t xml:space="preserve">בחינת </w:t>
      </w:r>
      <w:r>
        <w:rPr>
          <w:rFonts w:hint="cs"/>
          <w:rtl/>
        </w:rPr>
        <w:t xml:space="preserve">חידושו של פטור הסוג למיזמים משותפים, הוחלט שלא לחדש את כללי ההגבלים העסקיים (פטור סוג להסכמי מחקר ופיתוח) (הוראת שעה), התשס"ו-2006 (להלן </w:t>
      </w:r>
      <w:r>
        <w:rPr>
          <w:rFonts w:hint="cs"/>
          <w:b/>
          <w:bCs/>
          <w:rtl/>
        </w:rPr>
        <w:t>פטור הסוג למו"פ</w:t>
      </w:r>
      <w:r w:rsidRPr="007C5A3E">
        <w:rPr>
          <w:rFonts w:hint="cs"/>
          <w:rtl/>
        </w:rPr>
        <w:t>)</w:t>
      </w:r>
      <w:r w:rsidR="00C80B6C">
        <w:rPr>
          <w:rFonts w:hint="cs"/>
          <w:rtl/>
        </w:rPr>
        <w:t xml:space="preserve">, שעומדים לפקוע ביום </w:t>
      </w:r>
      <w:r w:rsidR="00C80B6C" w:rsidRPr="00DB783A">
        <w:rPr>
          <w:rtl/>
        </w:rPr>
        <w:t xml:space="preserve">ט' בתשרי </w:t>
      </w:r>
      <w:proofErr w:type="spellStart"/>
      <w:r w:rsidR="00C80B6C" w:rsidRPr="00DB783A">
        <w:rPr>
          <w:rtl/>
        </w:rPr>
        <w:t>התשפ"ב</w:t>
      </w:r>
      <w:proofErr w:type="spellEnd"/>
      <w:r w:rsidR="00C80B6C" w:rsidRPr="00DB783A">
        <w:rPr>
          <w:rtl/>
        </w:rPr>
        <w:t xml:space="preserve"> (15 בספטמבר 2021)</w:t>
      </w:r>
      <w:r>
        <w:rPr>
          <w:rFonts w:hint="cs"/>
          <w:rtl/>
        </w:rPr>
        <w:t>. החלטה זו נובעת מכך שהסכמי מחקר ופיתוח הם למעשה מקרה פרטי של מיזם משותף והכללים המנויים בפטור הסוג למו"פ חופפים במידה רבה לכללים המנויים בפטור הסוג. לכן, ועל מנת ל</w:t>
      </w:r>
      <w:r w:rsidR="00D12922">
        <w:rPr>
          <w:rFonts w:hint="cs"/>
          <w:rtl/>
        </w:rPr>
        <w:t>הקנות וודאות לנמעני פטור הסוג</w:t>
      </w:r>
      <w:r w:rsidR="00AB29F9">
        <w:rPr>
          <w:rFonts w:hint="cs"/>
          <w:rtl/>
        </w:rPr>
        <w:t>,</w:t>
      </w:r>
      <w:r>
        <w:rPr>
          <w:rFonts w:hint="cs"/>
          <w:rtl/>
        </w:rPr>
        <w:t xml:space="preserve"> </w:t>
      </w:r>
      <w:r w:rsidR="00C80B6C">
        <w:rPr>
          <w:rFonts w:hint="cs"/>
          <w:rtl/>
        </w:rPr>
        <w:t xml:space="preserve">מוצע לייבא את </w:t>
      </w:r>
      <w:r>
        <w:rPr>
          <w:rFonts w:hint="cs"/>
          <w:rtl/>
        </w:rPr>
        <w:t xml:space="preserve">הגדרת מחקר ופיתוח </w:t>
      </w:r>
      <w:r w:rsidR="00D12922">
        <w:rPr>
          <w:rFonts w:hint="cs"/>
          <w:rtl/>
        </w:rPr>
        <w:lastRenderedPageBreak/>
        <w:t xml:space="preserve">מפטור </w:t>
      </w:r>
      <w:r w:rsidR="004072F3">
        <w:rPr>
          <w:rFonts w:hint="cs"/>
          <w:rtl/>
        </w:rPr>
        <w:t>ה</w:t>
      </w:r>
      <w:r w:rsidR="00D12922">
        <w:rPr>
          <w:rFonts w:hint="cs"/>
          <w:rtl/>
        </w:rPr>
        <w:t>סוג למו"פ</w:t>
      </w:r>
      <w:r w:rsidR="00D91961">
        <w:rPr>
          <w:rFonts w:hint="cs"/>
          <w:rtl/>
        </w:rPr>
        <w:t>, בשינויים קלים נדרשים,</w:t>
      </w:r>
      <w:r w:rsidR="00D12922">
        <w:rPr>
          <w:rFonts w:hint="cs"/>
          <w:rtl/>
        </w:rPr>
        <w:t xml:space="preserve"> </w:t>
      </w:r>
      <w:r>
        <w:rPr>
          <w:rFonts w:hint="cs"/>
          <w:rtl/>
        </w:rPr>
        <w:t xml:space="preserve">לפטור הסוג </w:t>
      </w:r>
      <w:r w:rsidR="00C80B6C">
        <w:rPr>
          <w:rFonts w:hint="cs"/>
          <w:rtl/>
        </w:rPr>
        <w:t xml:space="preserve">ולהבהיר </w:t>
      </w:r>
      <w:r>
        <w:rPr>
          <w:rFonts w:hint="cs"/>
          <w:rtl/>
        </w:rPr>
        <w:t xml:space="preserve">בהגדרת מיזם משותף כי מיזם משותף כולל גם מיזם משותף למחקר ופיתוח. כן </w:t>
      </w:r>
      <w:r w:rsidR="00C80B6C">
        <w:rPr>
          <w:rFonts w:hint="cs"/>
          <w:rtl/>
        </w:rPr>
        <w:t xml:space="preserve">מוצע להבהיר </w:t>
      </w:r>
      <w:r>
        <w:rPr>
          <w:rFonts w:hint="cs"/>
          <w:rtl/>
        </w:rPr>
        <w:t xml:space="preserve">שניתן לכלול בהסכם שעניינו מחקר ופיתוח כבילות דומות לאלו הכלולות במיזמים משותפים אחרים החוסים תחת פטור הסוג. תיקון נוסף </w:t>
      </w:r>
      <w:r w:rsidR="00C80B6C">
        <w:rPr>
          <w:rFonts w:hint="cs"/>
          <w:rtl/>
        </w:rPr>
        <w:t xml:space="preserve">שמוצע </w:t>
      </w:r>
      <w:r>
        <w:rPr>
          <w:rFonts w:hint="cs"/>
          <w:rtl/>
        </w:rPr>
        <w:t xml:space="preserve">הוא בסעיף 4 לפטור הסוג הקובע, בין היתר, כי בחישוב חלקם של צדדים להסדר יש להביא בחשבון </w:t>
      </w:r>
      <w:r w:rsidRPr="00CB6BF3">
        <w:rPr>
          <w:rtl/>
        </w:rPr>
        <w:t>גם חלקם של אחרים שיש להם עם מי מהצדדים למיזם המשותף הסכם אחד או יותר, שהוא הסכם מו"פ</w:t>
      </w:r>
      <w:r>
        <w:rPr>
          <w:rFonts w:hint="cs"/>
          <w:rtl/>
        </w:rPr>
        <w:t>.</w:t>
      </w:r>
      <w:r w:rsidRPr="00CB6BF3">
        <w:rPr>
          <w:rtl/>
        </w:rPr>
        <w:t xml:space="preserve"> </w:t>
      </w:r>
    </w:p>
    <w:p w14:paraId="5B9F3451" w14:textId="4C92A9CB" w:rsidR="00BE4E3D" w:rsidRDefault="00BE4E3D" w:rsidP="00BE4E3D">
      <w:pPr>
        <w:spacing w:before="100" w:beforeAutospacing="1" w:after="100" w:afterAutospacing="1"/>
        <w:rPr>
          <w:b/>
          <w:bCs/>
          <w:rtl/>
        </w:rPr>
      </w:pPr>
    </w:p>
    <w:p w14:paraId="3188B048" w14:textId="77777777" w:rsidR="00FE2EC0" w:rsidRDefault="00FE2EC0" w:rsidP="00BE4E3D">
      <w:pPr>
        <w:spacing w:before="100" w:beforeAutospacing="1" w:after="100" w:afterAutospacing="1"/>
        <w:rPr>
          <w:b/>
          <w:bCs/>
          <w:rtl/>
        </w:rPr>
      </w:pPr>
    </w:p>
    <w:p w14:paraId="5690B8DC" w14:textId="4E95E4A9" w:rsidR="005863E8" w:rsidRDefault="00457CFA" w:rsidP="004072F3">
      <w:pPr>
        <w:rPr>
          <w:rtl/>
        </w:rPr>
      </w:pPr>
      <w:r>
        <w:rPr>
          <w:rFonts w:hint="cs"/>
          <w:b/>
          <w:bCs/>
          <w:rtl/>
        </w:rPr>
        <w:t xml:space="preserve">סעיפים </w:t>
      </w:r>
      <w:r w:rsidR="004072F3">
        <w:rPr>
          <w:rFonts w:hint="cs"/>
          <w:b/>
          <w:bCs/>
          <w:rtl/>
        </w:rPr>
        <w:t xml:space="preserve">1, 2, 4, </w:t>
      </w:r>
      <w:r w:rsidR="0050032B" w:rsidRPr="00B07BF4">
        <w:rPr>
          <w:rFonts w:hint="cs"/>
          <w:b/>
          <w:bCs/>
          <w:rtl/>
        </w:rPr>
        <w:t>6 ו-8</w:t>
      </w:r>
    </w:p>
    <w:p w14:paraId="5A66453F" w14:textId="67721024" w:rsidR="00457CFA" w:rsidRPr="00457CFA" w:rsidRDefault="00457CFA" w:rsidP="00C80583">
      <w:pPr>
        <w:rPr>
          <w:rtl/>
        </w:rPr>
      </w:pPr>
      <w:r w:rsidRPr="00457CFA">
        <w:rPr>
          <w:rFonts w:hint="cs"/>
          <w:rtl/>
        </w:rPr>
        <w:t>מוצע להתאים את נוסח הוראות פטור הסוג לתיקון מס' 21 לחוק התחרות הכלכלית, התשמ"ח-1988</w:t>
      </w:r>
      <w:r w:rsidR="00C80583">
        <w:rPr>
          <w:rFonts w:hint="cs"/>
          <w:rtl/>
        </w:rPr>
        <w:t>,</w:t>
      </w:r>
      <w:r w:rsidRPr="00457CFA">
        <w:rPr>
          <w:rFonts w:hint="cs"/>
          <w:rtl/>
        </w:rPr>
        <w:t xml:space="preserve"> במסגרתו שונה, בין היתר, שם החוק ל"חוק התחרות הכלכלית" ושמו של בית הדין ל"בית הדין לתחרות".</w:t>
      </w:r>
    </w:p>
    <w:p w14:paraId="47C909E9" w14:textId="77777777" w:rsidR="00D12922" w:rsidRDefault="00D12922" w:rsidP="00ED7659">
      <w:pPr>
        <w:rPr>
          <w:b/>
          <w:bCs/>
          <w:rtl/>
        </w:rPr>
      </w:pPr>
    </w:p>
    <w:p w14:paraId="21C40B1A" w14:textId="0FE09DA1" w:rsidR="004135B1" w:rsidRDefault="00C27A4B" w:rsidP="00ED7659">
      <w:pPr>
        <w:rPr>
          <w:rtl/>
        </w:rPr>
      </w:pPr>
      <w:r>
        <w:rPr>
          <w:rFonts w:hint="cs"/>
          <w:b/>
          <w:bCs/>
          <w:rtl/>
        </w:rPr>
        <w:t>תחילה ו</w:t>
      </w:r>
      <w:r w:rsidR="006C1832">
        <w:rPr>
          <w:rFonts w:hint="cs"/>
          <w:b/>
          <w:bCs/>
          <w:rtl/>
        </w:rPr>
        <w:t>תוקף</w:t>
      </w:r>
    </w:p>
    <w:p w14:paraId="6D0CDBF6" w14:textId="77777777" w:rsidR="00AF4AF4" w:rsidRDefault="00AF4AF4" w:rsidP="00AF4AF4">
      <w:r>
        <w:rPr>
          <w:rFonts w:hint="cs"/>
          <w:rtl/>
        </w:rPr>
        <w:t xml:space="preserve">מוצע לחדש את פטור הסוג לתקופה של 5 שנים וזאת לאור הניסיון שנצבר ברשות התחרות עד כה לפיו, למיטב הידיעה, </w:t>
      </w:r>
      <w:r w:rsidRPr="00CC4B65">
        <w:rPr>
          <w:rtl/>
        </w:rPr>
        <w:t>פטור הסוג אינו מעלה חששות לפגיעה בתחרות</w:t>
      </w:r>
      <w:r>
        <w:rPr>
          <w:rFonts w:hint="cs"/>
          <w:rtl/>
        </w:rPr>
        <w:t xml:space="preserve"> או בציבור.</w:t>
      </w:r>
    </w:p>
    <w:p w14:paraId="5F061A09" w14:textId="77777777" w:rsidR="00705762" w:rsidRPr="00AF4AF4" w:rsidRDefault="00705762">
      <w:pPr>
        <w:rPr>
          <w:rtl/>
        </w:rPr>
      </w:pPr>
    </w:p>
    <w:p w14:paraId="0821C448" w14:textId="77777777" w:rsidR="004135B1" w:rsidRPr="00705762" w:rsidRDefault="004135B1"/>
    <w:sectPr w:rsidR="004135B1" w:rsidRPr="00705762" w:rsidSect="003A35C0">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B7FF0" w14:textId="77777777" w:rsidR="00E96B54" w:rsidRDefault="00E96B54" w:rsidP="00153312">
      <w:pPr>
        <w:spacing w:line="240" w:lineRule="auto"/>
      </w:pPr>
      <w:r>
        <w:separator/>
      </w:r>
    </w:p>
  </w:endnote>
  <w:endnote w:type="continuationSeparator" w:id="0">
    <w:p w14:paraId="421501B3" w14:textId="77777777" w:rsidR="00E96B54" w:rsidRDefault="00E96B54" w:rsidP="001533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altName w:val="Malgun Gothic Semilight"/>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B7325" w14:textId="77777777" w:rsidR="00E96B54" w:rsidRDefault="00E96B54" w:rsidP="00F2001B">
      <w:pPr>
        <w:spacing w:line="240" w:lineRule="auto"/>
        <w:ind w:left="0"/>
      </w:pPr>
      <w:r>
        <w:separator/>
      </w:r>
    </w:p>
  </w:footnote>
  <w:footnote w:type="continuationSeparator" w:id="0">
    <w:p w14:paraId="26F07F00" w14:textId="77777777" w:rsidR="00E96B54" w:rsidRDefault="00E96B54" w:rsidP="00153312">
      <w:pPr>
        <w:spacing w:line="240" w:lineRule="auto"/>
      </w:pPr>
      <w:r>
        <w:continuationSeparator/>
      </w:r>
    </w:p>
  </w:footnote>
  <w:footnote w:id="1">
    <w:p w14:paraId="193881C8" w14:textId="77777777" w:rsidR="005D2AE5" w:rsidRDefault="005D2AE5" w:rsidP="00DB783A">
      <w:pPr>
        <w:pStyle w:val="FootnoteText"/>
        <w:spacing w:line="240" w:lineRule="auto"/>
        <w:rPr>
          <w:rtl/>
        </w:rPr>
      </w:pPr>
      <w:r>
        <w:rPr>
          <w:rStyle w:val="FootnoteReference"/>
        </w:rPr>
        <w:footnoteRef/>
      </w:r>
      <w:r>
        <w:rPr>
          <w:rtl/>
        </w:rPr>
        <w:t xml:space="preserve"> </w:t>
      </w:r>
      <w:r>
        <w:rPr>
          <w:rFonts w:hint="cs"/>
          <w:rtl/>
        </w:rPr>
        <w:t xml:space="preserve"> ראו למשל סעיפים 2 ו-3 לפטור הסוג הנוגעים לנתחי השוק המצרפיים של הצדדים להסדר בשוק שאליו נוגע המיזם ובשוקי מוצר בהם הצדדים מתחרים.</w:t>
      </w:r>
    </w:p>
  </w:footnote>
  <w:footnote w:id="2">
    <w:p w14:paraId="27D78DEE" w14:textId="77777777" w:rsidR="005D2AE5" w:rsidRDefault="005D2AE5" w:rsidP="00DB783A">
      <w:pPr>
        <w:pStyle w:val="FootnoteText"/>
        <w:spacing w:line="240" w:lineRule="auto"/>
        <w:rPr>
          <w:rtl/>
        </w:rPr>
      </w:pPr>
      <w:r>
        <w:rPr>
          <w:rStyle w:val="FootnoteReference"/>
        </w:rPr>
        <w:footnoteRef/>
      </w:r>
      <w:r>
        <w:rPr>
          <w:rtl/>
        </w:rPr>
        <w:t xml:space="preserve"> </w:t>
      </w:r>
      <w:r>
        <w:rPr>
          <w:rFonts w:hint="cs"/>
          <w:rtl/>
        </w:rPr>
        <w:t xml:space="preserve"> ראו למשל סעיפים 2(א)(2) ו-3(א)(3) שנוגעים לקיומם של מתחרים נוספים בשוקי המוצר בהם הצדדים מתחרים בהם ולגודלם של מתחרים אלו.</w:t>
      </w:r>
    </w:p>
  </w:footnote>
  <w:footnote w:id="3">
    <w:p w14:paraId="136CA6C0" w14:textId="77777777" w:rsidR="005D2AE5" w:rsidRDefault="005D2AE5" w:rsidP="00DB783A">
      <w:pPr>
        <w:pStyle w:val="FootnoteText"/>
        <w:spacing w:line="240" w:lineRule="auto"/>
        <w:rPr>
          <w:rtl/>
        </w:rPr>
      </w:pPr>
      <w:r>
        <w:rPr>
          <w:rStyle w:val="FootnoteReference"/>
        </w:rPr>
        <w:footnoteRef/>
      </w:r>
      <w:r>
        <w:rPr>
          <w:rtl/>
        </w:rPr>
        <w:t xml:space="preserve"> </w:t>
      </w:r>
      <w:r>
        <w:rPr>
          <w:rFonts w:hint="cs"/>
          <w:rtl/>
        </w:rPr>
        <w:t xml:space="preserve">ראו למשל סעיפים 2(ב), 3(ב), 8, 9(4), 9(5) ו-9(6) לפטור הסוג. </w:t>
      </w:r>
    </w:p>
  </w:footnote>
  <w:footnote w:id="4">
    <w:p w14:paraId="4A45CB92" w14:textId="77777777" w:rsidR="005D2AE5" w:rsidRPr="00CA7BFF" w:rsidRDefault="005D2AE5" w:rsidP="00DB783A">
      <w:pPr>
        <w:pStyle w:val="FootnoteText"/>
        <w:spacing w:line="240" w:lineRule="auto"/>
        <w:rPr>
          <w:rtl/>
        </w:rPr>
      </w:pPr>
      <w:r>
        <w:rPr>
          <w:rStyle w:val="FootnoteReference"/>
        </w:rPr>
        <w:footnoteRef/>
      </w:r>
      <w:r>
        <w:t xml:space="preserve"> </w:t>
      </w:r>
      <w:r>
        <w:rPr>
          <w:rFonts w:hint="cs"/>
          <w:rtl/>
        </w:rPr>
        <w:t xml:space="preserve"> יובהר כי בהתקיים נסיבות מתאימות ועל פי סעיף 15א(ז) לחוק רשאית הממונה לקבוע כי פטור המוענק בכללי פטור סוג לא יחול על הסדר כובל מסוים ממועד שתקבע. </w:t>
      </w:r>
    </w:p>
  </w:footnote>
  <w:footnote w:id="5">
    <w:p w14:paraId="729F863D" w14:textId="77777777" w:rsidR="005D2AE5" w:rsidRDefault="005D2AE5" w:rsidP="00DB783A">
      <w:pPr>
        <w:pStyle w:val="FootnoteText"/>
        <w:spacing w:line="240" w:lineRule="auto"/>
        <w:rPr>
          <w:rtl/>
        </w:rPr>
      </w:pPr>
      <w:r>
        <w:rPr>
          <w:rStyle w:val="FootnoteReference"/>
        </w:rPr>
        <w:footnoteRef/>
      </w:r>
      <w:r>
        <w:rPr>
          <w:rtl/>
        </w:rPr>
        <w:t xml:space="preserve"> </w:t>
      </w:r>
      <w:r>
        <w:rPr>
          <w:rFonts w:hint="cs"/>
          <w:rtl/>
        </w:rPr>
        <w:t xml:space="preserve">וראו לעניין זה ת"פ 209/96 </w:t>
      </w:r>
      <w:r>
        <w:rPr>
          <w:rFonts w:hint="cs"/>
          <w:b/>
          <w:bCs/>
          <w:rtl/>
        </w:rPr>
        <w:t xml:space="preserve">מדינת ישראל נ' </w:t>
      </w:r>
      <w:proofErr w:type="spellStart"/>
      <w:r>
        <w:rPr>
          <w:rFonts w:hint="cs"/>
          <w:b/>
          <w:bCs/>
          <w:rtl/>
        </w:rPr>
        <w:t>אהליך</w:t>
      </w:r>
      <w:proofErr w:type="spellEnd"/>
      <w:r>
        <w:rPr>
          <w:rFonts w:hint="cs"/>
          <w:b/>
          <w:bCs/>
          <w:rtl/>
        </w:rPr>
        <w:t xml:space="preserve"> יעקב בע"מ</w:t>
      </w:r>
      <w:r w:rsidRPr="006070F4">
        <w:rPr>
          <w:rFonts w:hint="cs"/>
          <w:rtl/>
        </w:rPr>
        <w:t>, פ"ד תשס"ב (1) 493 (2002)</w:t>
      </w:r>
      <w:r>
        <w:rPr>
          <w:rFonts w:hint="cs"/>
          <w:b/>
          <w:bCs/>
          <w:rtl/>
        </w:rPr>
        <w:t xml:space="preserve"> </w:t>
      </w:r>
      <w:r>
        <w:rPr>
          <w:rFonts w:hint="cs"/>
          <w:rtl/>
        </w:rPr>
        <w:t xml:space="preserve">פסקאות 9-10 לפסק הדין וכן פסקאות 234-239 להנחיות נציבות התחרות האירופית לניתוח הסדרים אופקיים משנת 2011: </w:t>
      </w:r>
    </w:p>
    <w:p w14:paraId="79479B91" w14:textId="6D309FD7" w:rsidR="005D2AE5" w:rsidRPr="001136E2" w:rsidRDefault="005D2AE5" w:rsidP="00DB783A">
      <w:pPr>
        <w:pStyle w:val="FootnoteText"/>
        <w:spacing w:line="240" w:lineRule="auto"/>
      </w:pPr>
      <w:r>
        <w:t>C1/11</w:t>
      </w:r>
      <w:r w:rsidRPr="001136E2">
        <w:t xml:space="preserve"> </w:t>
      </w:r>
      <w:r>
        <w:t>Guidelines on the applicability of Article 101 of the Treaty on the Functioning of the European Union to horizontal co-operation agreement</w:t>
      </w:r>
      <w:r>
        <w:rPr>
          <w:rFonts w:hint="cs"/>
          <w:rtl/>
        </w:rPr>
        <w:t xml:space="preserve">  </w:t>
      </w:r>
    </w:p>
  </w:footnote>
  <w:footnote w:id="6">
    <w:p w14:paraId="4B27F665" w14:textId="7ABE0183" w:rsidR="005D2AE5" w:rsidRDefault="005D2AE5" w:rsidP="00DB783A">
      <w:pPr>
        <w:pStyle w:val="FootnoteText"/>
        <w:spacing w:line="240" w:lineRule="auto"/>
        <w:rPr>
          <w:rFonts w:ascii="Times New Roman" w:hAnsi="Times New Roman"/>
          <w:rtl/>
        </w:rPr>
      </w:pPr>
      <w:r>
        <w:rPr>
          <w:rStyle w:val="FootnoteReference"/>
        </w:rPr>
        <w:footnoteRef/>
      </w:r>
      <w:r>
        <w:rPr>
          <w:rFonts w:hint="cs"/>
          <w:rtl/>
        </w:rPr>
        <w:t xml:space="preserve"> </w:t>
      </w:r>
      <w:r w:rsidR="0025122A">
        <w:rPr>
          <w:rFonts w:hint="cs"/>
          <w:rtl/>
        </w:rPr>
        <w:t>זאת למעט במקרים בהם מיזמים אלו חוסים תחת פטור סוג אחר.</w:t>
      </w:r>
      <w:r>
        <w:rPr>
          <w:rFonts w:hint="cs"/>
          <w:rtl/>
        </w:rPr>
        <w:t xml:space="preserve"> </w:t>
      </w:r>
    </w:p>
  </w:footnote>
  <w:footnote w:id="7">
    <w:p w14:paraId="50343761" w14:textId="77777777" w:rsidR="0034368F" w:rsidRDefault="0034368F" w:rsidP="00DB783A">
      <w:pPr>
        <w:pStyle w:val="FootnoteText"/>
        <w:spacing w:line="240" w:lineRule="auto"/>
        <w:rPr>
          <w:rtl/>
        </w:rPr>
      </w:pPr>
      <w:r>
        <w:rPr>
          <w:rStyle w:val="FootnoteReference"/>
        </w:rPr>
        <w:footnoteRef/>
      </w:r>
      <w:r>
        <w:rPr>
          <w:rtl/>
        </w:rPr>
        <w:t xml:space="preserve"> </w:t>
      </w:r>
      <w:r w:rsidR="000E6627">
        <w:rPr>
          <w:rFonts w:hint="cs"/>
          <w:rtl/>
        </w:rPr>
        <w:t>ס"ח</w:t>
      </w:r>
      <w:r>
        <w:rPr>
          <w:rFonts w:hint="cs"/>
          <w:rtl/>
        </w:rPr>
        <w:t xml:space="preserve"> </w:t>
      </w:r>
      <w:proofErr w:type="spellStart"/>
      <w:r>
        <w:rPr>
          <w:rFonts w:hint="cs"/>
          <w:rtl/>
        </w:rPr>
        <w:t>התשמ"ח</w:t>
      </w:r>
      <w:proofErr w:type="spellEnd"/>
      <w:r>
        <w:rPr>
          <w:rFonts w:hint="cs"/>
          <w:rtl/>
        </w:rPr>
        <w:t xml:space="preserve">, עמ' 128; </w:t>
      </w:r>
      <w:proofErr w:type="spellStart"/>
      <w:r w:rsidR="00CC4B65">
        <w:rPr>
          <w:rFonts w:hint="cs"/>
          <w:rtl/>
        </w:rPr>
        <w:t>התש"ס</w:t>
      </w:r>
      <w:proofErr w:type="spellEnd"/>
      <w:r w:rsidR="00CC4B65">
        <w:rPr>
          <w:rFonts w:hint="cs"/>
          <w:rtl/>
        </w:rPr>
        <w:t xml:space="preserve">, עמ' 113. </w:t>
      </w:r>
    </w:p>
  </w:footnote>
  <w:footnote w:id="8">
    <w:p w14:paraId="7E3D5203" w14:textId="3359A996" w:rsidR="0034368F" w:rsidRDefault="0034368F" w:rsidP="00DB783A">
      <w:pPr>
        <w:pStyle w:val="FootnoteText"/>
        <w:spacing w:line="240" w:lineRule="auto"/>
        <w:rPr>
          <w:rtl/>
        </w:rPr>
      </w:pPr>
      <w:r>
        <w:rPr>
          <w:rStyle w:val="FootnoteReference"/>
        </w:rPr>
        <w:footnoteRef/>
      </w:r>
      <w:r>
        <w:rPr>
          <w:rtl/>
        </w:rPr>
        <w:t xml:space="preserve"> </w:t>
      </w:r>
      <w:proofErr w:type="spellStart"/>
      <w:r w:rsidR="00B57606">
        <w:rPr>
          <w:rFonts w:hint="cs"/>
          <w:rtl/>
        </w:rPr>
        <w:t>ק"ת</w:t>
      </w:r>
      <w:proofErr w:type="spellEnd"/>
      <w:r w:rsidR="00B57606">
        <w:rPr>
          <w:rFonts w:hint="cs"/>
          <w:rtl/>
        </w:rPr>
        <w:t xml:space="preserve"> </w:t>
      </w:r>
      <w:proofErr w:type="spellStart"/>
      <w:r w:rsidR="00087A18">
        <w:rPr>
          <w:rFonts w:hint="cs"/>
          <w:rtl/>
        </w:rPr>
        <w:t>ה</w:t>
      </w:r>
      <w:r w:rsidR="00B57606">
        <w:rPr>
          <w:rFonts w:hint="cs"/>
          <w:rtl/>
        </w:rPr>
        <w:t>תשס"ו</w:t>
      </w:r>
      <w:proofErr w:type="spellEnd"/>
      <w:r w:rsidR="00B57606">
        <w:rPr>
          <w:rFonts w:hint="cs"/>
          <w:rtl/>
        </w:rPr>
        <w:t>, עמ' 793</w:t>
      </w:r>
      <w:r w:rsidR="00087A18">
        <w:rPr>
          <w:rFonts w:hint="cs"/>
          <w:rtl/>
        </w:rPr>
        <w:t>;</w:t>
      </w:r>
      <w:r w:rsidR="00B57606">
        <w:rPr>
          <w:rFonts w:hint="cs"/>
          <w:rtl/>
        </w:rPr>
        <w:t xml:space="preserve"> </w:t>
      </w:r>
      <w:proofErr w:type="spellStart"/>
      <w:r w:rsidR="00087A18">
        <w:rPr>
          <w:rFonts w:hint="cs"/>
          <w:rtl/>
        </w:rPr>
        <w:t>ה</w:t>
      </w:r>
      <w:r w:rsidR="00B57606">
        <w:rPr>
          <w:rFonts w:hint="cs"/>
          <w:rtl/>
        </w:rPr>
        <w:t>תשע"א</w:t>
      </w:r>
      <w:proofErr w:type="spellEnd"/>
      <w:r w:rsidR="00B57606">
        <w:rPr>
          <w:rFonts w:hint="cs"/>
          <w:rtl/>
        </w:rPr>
        <w:t>, עמ' 845</w:t>
      </w:r>
      <w:r w:rsidR="00087A18">
        <w:rPr>
          <w:rFonts w:hint="cs"/>
          <w:rtl/>
        </w:rPr>
        <w:t xml:space="preserve">; </w:t>
      </w:r>
      <w:proofErr w:type="spellStart"/>
      <w:r w:rsidR="00087A18">
        <w:rPr>
          <w:rFonts w:hint="cs"/>
          <w:rtl/>
        </w:rPr>
        <w:t>התשע"ו</w:t>
      </w:r>
      <w:proofErr w:type="spellEnd"/>
      <w:r w:rsidR="00087A18">
        <w:rPr>
          <w:rFonts w:hint="cs"/>
          <w:rtl/>
        </w:rPr>
        <w:t>, עמ' 848;</w:t>
      </w:r>
      <w:r w:rsidR="00B57606">
        <w:rPr>
          <w:rFonts w:hint="cs"/>
          <w:rtl/>
        </w:rPr>
        <w:t xml:space="preserve"> </w:t>
      </w:r>
      <w:proofErr w:type="spellStart"/>
      <w:r w:rsidR="00087A18">
        <w:rPr>
          <w:rFonts w:hint="cs"/>
          <w:rtl/>
        </w:rPr>
        <w:t>ה</w:t>
      </w:r>
      <w:r w:rsidR="00B57606">
        <w:rPr>
          <w:rFonts w:hint="cs"/>
          <w:rtl/>
        </w:rPr>
        <w:t>תשע"ו</w:t>
      </w:r>
      <w:proofErr w:type="spellEnd"/>
      <w:r w:rsidR="00B57606">
        <w:rPr>
          <w:rFonts w:hint="cs"/>
          <w:rtl/>
        </w:rPr>
        <w:t>, עמ' 2252</w:t>
      </w:r>
      <w:r w:rsidR="00087A18">
        <w:rPr>
          <w:rFonts w:hint="cs"/>
          <w:rtl/>
        </w:rPr>
        <w:t>;</w:t>
      </w:r>
      <w:r w:rsidR="00B57606">
        <w:rPr>
          <w:rFonts w:hint="cs"/>
          <w:rtl/>
        </w:rPr>
        <w:t xml:space="preserve"> </w:t>
      </w:r>
      <w:proofErr w:type="spellStart"/>
      <w:r w:rsidR="00087A18">
        <w:rPr>
          <w:rFonts w:hint="cs"/>
          <w:rtl/>
        </w:rPr>
        <w:t>ה</w:t>
      </w:r>
      <w:r w:rsidR="00B57606">
        <w:rPr>
          <w:rFonts w:hint="cs"/>
          <w:rtl/>
        </w:rPr>
        <w:t>תשע"ט</w:t>
      </w:r>
      <w:proofErr w:type="spellEnd"/>
      <w:r w:rsidR="00B57606">
        <w:rPr>
          <w:rFonts w:hint="cs"/>
          <w:rtl/>
        </w:rPr>
        <w:t>, 1317.</w:t>
      </w:r>
    </w:p>
  </w:footnote>
  <w:footnote w:id="9">
    <w:p w14:paraId="69392BBE" w14:textId="77777777" w:rsidR="00BE4E3D" w:rsidRDefault="00BE4E3D" w:rsidP="00DB783A">
      <w:pPr>
        <w:pStyle w:val="FootnoteText"/>
        <w:spacing w:line="240" w:lineRule="auto"/>
        <w:rPr>
          <w:rtl/>
        </w:rPr>
      </w:pPr>
      <w:r>
        <w:rPr>
          <w:rStyle w:val="FootnoteReference"/>
        </w:rPr>
        <w:footnoteRef/>
      </w:r>
      <w:r>
        <w:rPr>
          <w:rtl/>
        </w:rPr>
        <w:t xml:space="preserve"> </w:t>
      </w:r>
      <w:r>
        <w:rPr>
          <w:rFonts w:hint="cs"/>
          <w:rtl/>
        </w:rPr>
        <w:t xml:space="preserve"> ראו למשל סעיפים 2 ו-3 לפטור הסוג הנוגעים לנתחי השוק המצרפיים של הצדדים להסדר בשוק שאליו נוגע המיזם ובשוקי מוצר בהם הצדדים מתחרים.</w:t>
      </w:r>
    </w:p>
  </w:footnote>
  <w:footnote w:id="10">
    <w:p w14:paraId="51501407" w14:textId="77777777" w:rsidR="00BE4E3D" w:rsidRDefault="00BE4E3D" w:rsidP="00DB783A">
      <w:pPr>
        <w:pStyle w:val="FootnoteText"/>
        <w:spacing w:line="240" w:lineRule="auto"/>
        <w:rPr>
          <w:rtl/>
        </w:rPr>
      </w:pPr>
      <w:r>
        <w:rPr>
          <w:rStyle w:val="FootnoteReference"/>
        </w:rPr>
        <w:footnoteRef/>
      </w:r>
      <w:r>
        <w:rPr>
          <w:rtl/>
        </w:rPr>
        <w:t xml:space="preserve"> </w:t>
      </w:r>
      <w:r>
        <w:rPr>
          <w:rFonts w:hint="cs"/>
          <w:rtl/>
        </w:rPr>
        <w:t xml:space="preserve"> ראו למשל סעיפים 2(א)(2) ו-3(א)(3) שנוגעים לקיומם של מתחרים נוספים בשוקי המוצר בהם הצדדים מתחרים בהם ולגודלם של מתחרים אלו.</w:t>
      </w:r>
    </w:p>
  </w:footnote>
  <w:footnote w:id="11">
    <w:p w14:paraId="081D41FD" w14:textId="77777777" w:rsidR="00BE4E3D" w:rsidRDefault="00BE4E3D" w:rsidP="00DB783A">
      <w:pPr>
        <w:pStyle w:val="FootnoteText"/>
        <w:spacing w:line="240" w:lineRule="auto"/>
        <w:rPr>
          <w:rtl/>
        </w:rPr>
      </w:pPr>
      <w:r>
        <w:rPr>
          <w:rStyle w:val="FootnoteReference"/>
        </w:rPr>
        <w:footnoteRef/>
      </w:r>
      <w:r>
        <w:rPr>
          <w:rtl/>
        </w:rPr>
        <w:t xml:space="preserve"> </w:t>
      </w:r>
      <w:r>
        <w:rPr>
          <w:rFonts w:hint="cs"/>
          <w:rtl/>
        </w:rPr>
        <w:t xml:space="preserve">ראו למשל סעיפים 2(ב), 3(ב), 8, 9(4), 9(5) ו-9(6) לפטור הסוג. </w:t>
      </w:r>
    </w:p>
  </w:footnote>
  <w:footnote w:id="12">
    <w:p w14:paraId="65793A89" w14:textId="77777777" w:rsidR="00BE4E3D" w:rsidRPr="00CA7BFF" w:rsidRDefault="00BE4E3D" w:rsidP="00DB783A">
      <w:pPr>
        <w:pStyle w:val="FootnoteText"/>
        <w:spacing w:line="240" w:lineRule="auto"/>
        <w:rPr>
          <w:rtl/>
        </w:rPr>
      </w:pPr>
      <w:r>
        <w:rPr>
          <w:rStyle w:val="FootnoteReference"/>
        </w:rPr>
        <w:footnoteRef/>
      </w:r>
      <w:r>
        <w:t xml:space="preserve"> </w:t>
      </w:r>
      <w:r>
        <w:rPr>
          <w:rFonts w:hint="cs"/>
          <w:rtl/>
        </w:rPr>
        <w:t xml:space="preserve"> יובהר כי בהתקיים נסיבות מתאימות ועל פי סעיף 15א(ז) לחוק רשאית הממונה לקבוע כי פטור המוענק בכללי פטור סוג לא יחול על הסדר כובל מסוים ממועד שתקבע. </w:t>
      </w:r>
    </w:p>
  </w:footnote>
  <w:footnote w:id="13">
    <w:p w14:paraId="76C77960" w14:textId="77777777" w:rsidR="00BE4E3D" w:rsidRDefault="00BE4E3D" w:rsidP="00DB783A">
      <w:pPr>
        <w:pStyle w:val="FootnoteText"/>
        <w:spacing w:line="240" w:lineRule="auto"/>
        <w:rPr>
          <w:rtl/>
        </w:rPr>
      </w:pPr>
      <w:r>
        <w:rPr>
          <w:rStyle w:val="FootnoteReference"/>
        </w:rPr>
        <w:footnoteRef/>
      </w:r>
      <w:r>
        <w:rPr>
          <w:rtl/>
        </w:rPr>
        <w:t xml:space="preserve"> </w:t>
      </w:r>
      <w:r>
        <w:rPr>
          <w:rFonts w:hint="cs"/>
          <w:rtl/>
        </w:rPr>
        <w:t xml:space="preserve">וראו לעניין זה ת"פ 209/96 </w:t>
      </w:r>
      <w:r>
        <w:rPr>
          <w:rFonts w:hint="cs"/>
          <w:b/>
          <w:bCs/>
          <w:rtl/>
        </w:rPr>
        <w:t xml:space="preserve">מדינת ישראל נ' </w:t>
      </w:r>
      <w:proofErr w:type="spellStart"/>
      <w:r>
        <w:rPr>
          <w:rFonts w:hint="cs"/>
          <w:b/>
          <w:bCs/>
          <w:rtl/>
        </w:rPr>
        <w:t>אהליך</w:t>
      </w:r>
      <w:proofErr w:type="spellEnd"/>
      <w:r>
        <w:rPr>
          <w:rFonts w:hint="cs"/>
          <w:b/>
          <w:bCs/>
          <w:rtl/>
        </w:rPr>
        <w:t xml:space="preserve"> יעקב בע"מ</w:t>
      </w:r>
      <w:r w:rsidRPr="006070F4">
        <w:rPr>
          <w:rFonts w:hint="cs"/>
          <w:rtl/>
        </w:rPr>
        <w:t>, פ"ד תשס"ב (1) 493 (2002)</w:t>
      </w:r>
      <w:r>
        <w:rPr>
          <w:rFonts w:hint="cs"/>
          <w:b/>
          <w:bCs/>
          <w:rtl/>
        </w:rPr>
        <w:t xml:space="preserve"> </w:t>
      </w:r>
      <w:r>
        <w:rPr>
          <w:rFonts w:hint="cs"/>
          <w:rtl/>
        </w:rPr>
        <w:t xml:space="preserve">פסקאות 9-10 לפסק הדין וכן פסקאות 234-239 להנחיות נציבות התחרות האירופית לניתוח הסדרים אופקיים משנת 2011: </w:t>
      </w:r>
    </w:p>
    <w:p w14:paraId="515A5803" w14:textId="2558BB3E" w:rsidR="00BE4E3D" w:rsidRPr="001136E2" w:rsidRDefault="00BE4E3D" w:rsidP="00DB783A">
      <w:pPr>
        <w:pStyle w:val="FootnoteText"/>
        <w:spacing w:line="240" w:lineRule="auto"/>
      </w:pPr>
      <w:r>
        <w:t>C1/11</w:t>
      </w:r>
      <w:r w:rsidRPr="001136E2">
        <w:t xml:space="preserve"> </w:t>
      </w:r>
      <w:r>
        <w:t>Guidelines on the applicability of Article 101 of the Treaty on the Functioning of the European Union to horizontal co-operation agreement</w:t>
      </w:r>
      <w:r>
        <w:rPr>
          <w:rFonts w:hint="cs"/>
          <w:rtl/>
        </w:rPr>
        <w:t xml:space="preserve">   </w:t>
      </w:r>
    </w:p>
  </w:footnote>
  <w:footnote w:id="14">
    <w:p w14:paraId="11EF5D22" w14:textId="76CF2EB2" w:rsidR="00BE4E3D" w:rsidRDefault="00BE4E3D" w:rsidP="00DB783A">
      <w:pPr>
        <w:pStyle w:val="FootnoteText"/>
        <w:spacing w:line="240" w:lineRule="auto"/>
        <w:rPr>
          <w:rFonts w:ascii="Times New Roman" w:hAnsi="Times New Roman"/>
          <w:rtl/>
        </w:rPr>
      </w:pPr>
      <w:r>
        <w:rPr>
          <w:rStyle w:val="FootnoteReference"/>
        </w:rPr>
        <w:footnoteRef/>
      </w:r>
      <w:r>
        <w:rPr>
          <w:rFonts w:hint="cs"/>
          <w:rtl/>
        </w:rPr>
        <w:t xml:space="preserve"> </w:t>
      </w:r>
      <w:r w:rsidR="0025122A">
        <w:rPr>
          <w:rFonts w:hint="cs"/>
          <w:rtl/>
        </w:rPr>
        <w:t>זאת למעט במקרים בהם מיזמים אלו חוסים תחת כללי פטור סוג אחר.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6929B2"/>
    <w:multiLevelType w:val="hybridMultilevel"/>
    <w:tmpl w:val="76D444D4"/>
    <w:lvl w:ilvl="0" w:tplc="ACD4EAA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1CB325F9"/>
    <w:multiLevelType w:val="hybridMultilevel"/>
    <w:tmpl w:val="1464834C"/>
    <w:lvl w:ilvl="0" w:tplc="C554C8A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3FCE"/>
    <w:multiLevelType w:val="hybridMultilevel"/>
    <w:tmpl w:val="EFEE0606"/>
    <w:lvl w:ilvl="0" w:tplc="1D34DA38">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B6D9E"/>
    <w:multiLevelType w:val="hybridMultilevel"/>
    <w:tmpl w:val="48D6A25A"/>
    <w:lvl w:ilvl="0" w:tplc="A5928262">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832BE"/>
    <w:multiLevelType w:val="hybridMultilevel"/>
    <w:tmpl w:val="D9ECE078"/>
    <w:lvl w:ilvl="0" w:tplc="6BCAB2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040655"/>
    <w:multiLevelType w:val="hybridMultilevel"/>
    <w:tmpl w:val="1D8837F0"/>
    <w:lvl w:ilvl="0" w:tplc="6DB668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5C6F4C06"/>
    <w:multiLevelType w:val="hybridMultilevel"/>
    <w:tmpl w:val="A6D25086"/>
    <w:lvl w:ilvl="0" w:tplc="ECBEF3AC">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C04768"/>
    <w:multiLevelType w:val="hybridMultilevel"/>
    <w:tmpl w:val="3A68FDC2"/>
    <w:lvl w:ilvl="0" w:tplc="5BFEA9E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3C544D"/>
    <w:multiLevelType w:val="hybridMultilevel"/>
    <w:tmpl w:val="C7443990"/>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813833"/>
    <w:multiLevelType w:val="hybridMultilevel"/>
    <w:tmpl w:val="92068260"/>
    <w:lvl w:ilvl="0" w:tplc="9C8AD86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2"/>
  </w:num>
  <w:num w:numId="5">
    <w:abstractNumId w:val="13"/>
  </w:num>
  <w:num w:numId="6">
    <w:abstractNumId w:val="24"/>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7"/>
  </w:num>
  <w:num w:numId="17">
    <w:abstractNumId w:val="17"/>
    <w:lvlOverride w:ilvl="0">
      <w:startOverride w:val="1"/>
    </w:lvlOverride>
  </w:num>
  <w:num w:numId="18">
    <w:abstractNumId w:val="11"/>
  </w:num>
  <w:num w:numId="19">
    <w:abstractNumId w:val="19"/>
  </w:num>
  <w:num w:numId="20">
    <w:abstractNumId w:val="23"/>
  </w:num>
  <w:num w:numId="21">
    <w:abstractNumId w:val="20"/>
  </w:num>
  <w:num w:numId="22">
    <w:abstractNumId w:val="14"/>
  </w:num>
  <w:num w:numId="23">
    <w:abstractNumId w:val="21"/>
  </w:num>
  <w:num w:numId="24">
    <w:abstractNumId w:val="16"/>
  </w:num>
  <w:num w:numId="25">
    <w:abstractNumId w:val="18"/>
  </w:num>
  <w:num w:numId="26">
    <w:abstractNumId w:val="10"/>
  </w:num>
  <w:num w:numId="27">
    <w:abstractNumId w:val="1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C0"/>
    <w:rsid w:val="00005F31"/>
    <w:rsid w:val="00087A18"/>
    <w:rsid w:val="000A1A08"/>
    <w:rsid w:val="000C3936"/>
    <w:rsid w:val="000E583D"/>
    <w:rsid w:val="000E6627"/>
    <w:rsid w:val="000F23C1"/>
    <w:rsid w:val="00102867"/>
    <w:rsid w:val="0011103E"/>
    <w:rsid w:val="00130DF3"/>
    <w:rsid w:val="001439BC"/>
    <w:rsid w:val="00153312"/>
    <w:rsid w:val="001721B5"/>
    <w:rsid w:val="0017476C"/>
    <w:rsid w:val="001A6E3E"/>
    <w:rsid w:val="001B3826"/>
    <w:rsid w:val="001B6E44"/>
    <w:rsid w:val="001C0B18"/>
    <w:rsid w:val="001C6153"/>
    <w:rsid w:val="001F029A"/>
    <w:rsid w:val="00213588"/>
    <w:rsid w:val="00232075"/>
    <w:rsid w:val="00235BD6"/>
    <w:rsid w:val="00240473"/>
    <w:rsid w:val="0025122A"/>
    <w:rsid w:val="002539D7"/>
    <w:rsid w:val="00264B19"/>
    <w:rsid w:val="00267192"/>
    <w:rsid w:val="00286F55"/>
    <w:rsid w:val="002A67C0"/>
    <w:rsid w:val="002C23BC"/>
    <w:rsid w:val="002C287B"/>
    <w:rsid w:val="002C3CAB"/>
    <w:rsid w:val="002C5106"/>
    <w:rsid w:val="002C6B3D"/>
    <w:rsid w:val="002D49B5"/>
    <w:rsid w:val="00310099"/>
    <w:rsid w:val="0031354A"/>
    <w:rsid w:val="003431A9"/>
    <w:rsid w:val="0034368F"/>
    <w:rsid w:val="00371E07"/>
    <w:rsid w:val="00393EC8"/>
    <w:rsid w:val="00397C7B"/>
    <w:rsid w:val="003A35C0"/>
    <w:rsid w:val="00401D05"/>
    <w:rsid w:val="004072F3"/>
    <w:rsid w:val="004135B1"/>
    <w:rsid w:val="00414BF0"/>
    <w:rsid w:val="00416B8A"/>
    <w:rsid w:val="00440416"/>
    <w:rsid w:val="00444BB9"/>
    <w:rsid w:val="00457CFA"/>
    <w:rsid w:val="00482E8E"/>
    <w:rsid w:val="004B277F"/>
    <w:rsid w:val="004C2165"/>
    <w:rsid w:val="004D07F2"/>
    <w:rsid w:val="004D08F8"/>
    <w:rsid w:val="004D775C"/>
    <w:rsid w:val="0050032B"/>
    <w:rsid w:val="00501382"/>
    <w:rsid w:val="00502B7A"/>
    <w:rsid w:val="005229C6"/>
    <w:rsid w:val="00523D59"/>
    <w:rsid w:val="00527CE0"/>
    <w:rsid w:val="00536904"/>
    <w:rsid w:val="00551023"/>
    <w:rsid w:val="00552E7C"/>
    <w:rsid w:val="005549E7"/>
    <w:rsid w:val="00556530"/>
    <w:rsid w:val="00556FD8"/>
    <w:rsid w:val="005704BF"/>
    <w:rsid w:val="005863E8"/>
    <w:rsid w:val="00594075"/>
    <w:rsid w:val="00594A01"/>
    <w:rsid w:val="005B6F37"/>
    <w:rsid w:val="005C1EA0"/>
    <w:rsid w:val="005C2696"/>
    <w:rsid w:val="005D0997"/>
    <w:rsid w:val="005D2AE5"/>
    <w:rsid w:val="005D6A11"/>
    <w:rsid w:val="005E7CCC"/>
    <w:rsid w:val="005F05CA"/>
    <w:rsid w:val="00606926"/>
    <w:rsid w:val="00613920"/>
    <w:rsid w:val="00640BC3"/>
    <w:rsid w:val="0064129A"/>
    <w:rsid w:val="0065585A"/>
    <w:rsid w:val="0065797C"/>
    <w:rsid w:val="00662ED4"/>
    <w:rsid w:val="00671D29"/>
    <w:rsid w:val="00684C2B"/>
    <w:rsid w:val="0069191E"/>
    <w:rsid w:val="006A5100"/>
    <w:rsid w:val="006B1CDF"/>
    <w:rsid w:val="006C1832"/>
    <w:rsid w:val="006D403F"/>
    <w:rsid w:val="00700822"/>
    <w:rsid w:val="0070495E"/>
    <w:rsid w:val="00704B33"/>
    <w:rsid w:val="00705762"/>
    <w:rsid w:val="00706D5C"/>
    <w:rsid w:val="007319B7"/>
    <w:rsid w:val="00734F58"/>
    <w:rsid w:val="00740470"/>
    <w:rsid w:val="00773EDC"/>
    <w:rsid w:val="007779D9"/>
    <w:rsid w:val="007829DD"/>
    <w:rsid w:val="0079386D"/>
    <w:rsid w:val="007A1E34"/>
    <w:rsid w:val="007A2CB6"/>
    <w:rsid w:val="007D0B53"/>
    <w:rsid w:val="007D307A"/>
    <w:rsid w:val="00851026"/>
    <w:rsid w:val="00854AD6"/>
    <w:rsid w:val="00861F79"/>
    <w:rsid w:val="008739AA"/>
    <w:rsid w:val="00874732"/>
    <w:rsid w:val="008B73BD"/>
    <w:rsid w:val="008C120B"/>
    <w:rsid w:val="008D1B3A"/>
    <w:rsid w:val="00905B38"/>
    <w:rsid w:val="009433F4"/>
    <w:rsid w:val="009614CB"/>
    <w:rsid w:val="00964E02"/>
    <w:rsid w:val="00977415"/>
    <w:rsid w:val="00985022"/>
    <w:rsid w:val="009B248C"/>
    <w:rsid w:val="009B735E"/>
    <w:rsid w:val="009D6AF9"/>
    <w:rsid w:val="009E0B90"/>
    <w:rsid w:val="009F1541"/>
    <w:rsid w:val="00A750DA"/>
    <w:rsid w:val="00A91778"/>
    <w:rsid w:val="00A94893"/>
    <w:rsid w:val="00AB29F9"/>
    <w:rsid w:val="00AB796A"/>
    <w:rsid w:val="00AC11D2"/>
    <w:rsid w:val="00AC3A13"/>
    <w:rsid w:val="00AE085A"/>
    <w:rsid w:val="00AE11E8"/>
    <w:rsid w:val="00AF2AAB"/>
    <w:rsid w:val="00AF4AF4"/>
    <w:rsid w:val="00AF7A59"/>
    <w:rsid w:val="00B00BF6"/>
    <w:rsid w:val="00B07BF4"/>
    <w:rsid w:val="00B41473"/>
    <w:rsid w:val="00B46827"/>
    <w:rsid w:val="00B57606"/>
    <w:rsid w:val="00B65006"/>
    <w:rsid w:val="00B669B9"/>
    <w:rsid w:val="00B700D2"/>
    <w:rsid w:val="00B80E80"/>
    <w:rsid w:val="00BA3935"/>
    <w:rsid w:val="00BB0600"/>
    <w:rsid w:val="00BD35AA"/>
    <w:rsid w:val="00BE4E3D"/>
    <w:rsid w:val="00BF531C"/>
    <w:rsid w:val="00BF5DA3"/>
    <w:rsid w:val="00C0306D"/>
    <w:rsid w:val="00C2288F"/>
    <w:rsid w:val="00C27A4B"/>
    <w:rsid w:val="00C34393"/>
    <w:rsid w:val="00C375E3"/>
    <w:rsid w:val="00C56410"/>
    <w:rsid w:val="00C80583"/>
    <w:rsid w:val="00C80B6C"/>
    <w:rsid w:val="00C93965"/>
    <w:rsid w:val="00CA2C52"/>
    <w:rsid w:val="00CA76D4"/>
    <w:rsid w:val="00CC4B65"/>
    <w:rsid w:val="00CD3211"/>
    <w:rsid w:val="00CD60A7"/>
    <w:rsid w:val="00CD7320"/>
    <w:rsid w:val="00D05AA0"/>
    <w:rsid w:val="00D12397"/>
    <w:rsid w:val="00D12922"/>
    <w:rsid w:val="00D2360F"/>
    <w:rsid w:val="00D26214"/>
    <w:rsid w:val="00D26FA2"/>
    <w:rsid w:val="00D465B0"/>
    <w:rsid w:val="00D4798B"/>
    <w:rsid w:val="00D5273B"/>
    <w:rsid w:val="00D54250"/>
    <w:rsid w:val="00D606C6"/>
    <w:rsid w:val="00D91961"/>
    <w:rsid w:val="00DA5591"/>
    <w:rsid w:val="00DB783A"/>
    <w:rsid w:val="00DD31B7"/>
    <w:rsid w:val="00DD7CCB"/>
    <w:rsid w:val="00DE205F"/>
    <w:rsid w:val="00DF3CD7"/>
    <w:rsid w:val="00E33B89"/>
    <w:rsid w:val="00E37644"/>
    <w:rsid w:val="00E55FAC"/>
    <w:rsid w:val="00E82F2F"/>
    <w:rsid w:val="00E95BDD"/>
    <w:rsid w:val="00E96B54"/>
    <w:rsid w:val="00EA683A"/>
    <w:rsid w:val="00ED2DA9"/>
    <w:rsid w:val="00ED3397"/>
    <w:rsid w:val="00ED7659"/>
    <w:rsid w:val="00EF50AE"/>
    <w:rsid w:val="00F12154"/>
    <w:rsid w:val="00F16822"/>
    <w:rsid w:val="00F2001B"/>
    <w:rsid w:val="00F230B4"/>
    <w:rsid w:val="00F33890"/>
    <w:rsid w:val="00F5295F"/>
    <w:rsid w:val="00F573EC"/>
    <w:rsid w:val="00F61F3C"/>
    <w:rsid w:val="00F71E09"/>
    <w:rsid w:val="00F810F5"/>
    <w:rsid w:val="00F94817"/>
    <w:rsid w:val="00FA200F"/>
    <w:rsid w:val="00FC3FCD"/>
    <w:rsid w:val="00FE2EC0"/>
    <w:rsid w:val="00FE71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B61DA"/>
  <w15:chartTrackingRefBased/>
  <w15:docId w15:val="{4E41FBFF-964E-4E5F-8FB6-ED934000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250"/>
    <w:pPr>
      <w:widowControl w:val="0"/>
      <w:bidi/>
      <w:spacing w:after="0" w:line="360" w:lineRule="auto"/>
      <w:ind w:left="340"/>
      <w:contextualSpacing/>
      <w:jc w:val="both"/>
    </w:pPr>
    <w:rPr>
      <w:rFonts w:ascii="David" w:hAnsi="David" w:cs="David"/>
      <w:sz w:val="24"/>
      <w:szCs w:val="24"/>
    </w:rPr>
  </w:style>
  <w:style w:type="paragraph" w:styleId="Heading1">
    <w:name w:val="heading 1"/>
    <w:basedOn w:val="Normal"/>
    <w:next w:val="Normal"/>
    <w:link w:val="Heading1Char"/>
    <w:uiPriority w:val="9"/>
    <w:qFormat/>
    <w:rsid w:val="00D54250"/>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D54250"/>
    <w:pPr>
      <w:ind w:left="0"/>
      <w:jc w:val="left"/>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D54250"/>
    <w:pPr>
      <w:spacing w:before="40"/>
      <w:ind w:left="0"/>
      <w:jc w:val="left"/>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D54250"/>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D54250"/>
    <w:pPr>
      <w:spacing w:line="259" w:lineRule="auto"/>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250"/>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D54250"/>
    <w:rPr>
      <w:rFonts w:ascii="David" w:hAnsi="David" w:cs="David"/>
      <w:b/>
      <w:bCs/>
      <w:color w:val="000000" w:themeColor="text1"/>
      <w:sz w:val="24"/>
      <w:szCs w:val="28"/>
    </w:rPr>
  </w:style>
  <w:style w:type="paragraph" w:customStyle="1" w:styleId="TableText">
    <w:name w:val="Table Text"/>
    <w:basedOn w:val="Normal"/>
    <w:rsid w:val="00D54250"/>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D54250"/>
    <w:pPr>
      <w:outlineLvl w:val="2"/>
    </w:pPr>
  </w:style>
  <w:style w:type="paragraph" w:customStyle="1" w:styleId="TableBlock">
    <w:name w:val="Table Block"/>
    <w:basedOn w:val="TableText"/>
    <w:rsid w:val="00D54250"/>
    <w:pPr>
      <w:jc w:val="both"/>
    </w:pPr>
  </w:style>
  <w:style w:type="paragraph" w:customStyle="1" w:styleId="TableHead">
    <w:name w:val="Table Head"/>
    <w:basedOn w:val="TableText"/>
    <w:rsid w:val="00D54250"/>
    <w:pPr>
      <w:jc w:val="center"/>
      <w:outlineLvl w:val="1"/>
    </w:pPr>
    <w:rPr>
      <w:b/>
      <w:bCs/>
    </w:rPr>
  </w:style>
  <w:style w:type="paragraph" w:customStyle="1" w:styleId="HeadMitparsemetBaze">
    <w:name w:val="Head MitparsemetBaze"/>
    <w:basedOn w:val="Normal"/>
    <w:rsid w:val="00D54250"/>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D54250"/>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D54250"/>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D54250"/>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D54250"/>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D54250"/>
    <w:rPr>
      <w:rFonts w:ascii="David" w:hAnsi="David" w:cs="David"/>
      <w:color w:val="000000" w:themeColor="text1"/>
      <w:sz w:val="24"/>
      <w:szCs w:val="24"/>
    </w:rPr>
  </w:style>
  <w:style w:type="paragraph" w:customStyle="1" w:styleId="HeadHatzaotHok4Futer">
    <w:name w:val="Head HatzaotHok4Futer"/>
    <w:basedOn w:val="HeadHatzaotHok"/>
    <w:rsid w:val="00D54250"/>
    <w:pPr>
      <w:spacing w:before="120" w:after="120"/>
    </w:pPr>
    <w:rPr>
      <w:color w:val="FF0000"/>
      <w:w w:val="80"/>
    </w:rPr>
  </w:style>
  <w:style w:type="paragraph" w:styleId="EndnoteText">
    <w:name w:val="endnote text"/>
    <w:basedOn w:val="Normal"/>
    <w:link w:val="EndnoteTextChar"/>
    <w:semiHidden/>
    <w:rsid w:val="00D54250"/>
    <w:pPr>
      <w:ind w:left="227" w:hanging="227"/>
    </w:pPr>
    <w:rPr>
      <w:sz w:val="14"/>
      <w:szCs w:val="22"/>
    </w:rPr>
  </w:style>
  <w:style w:type="character" w:customStyle="1" w:styleId="EndnoteTextChar">
    <w:name w:val="Endnote Text Char"/>
    <w:basedOn w:val="DefaultParagraphFont"/>
    <w:link w:val="EndnoteText"/>
    <w:semiHidden/>
    <w:rsid w:val="003A35C0"/>
    <w:rPr>
      <w:rFonts w:ascii="David" w:hAnsi="David" w:cs="David"/>
      <w:sz w:val="14"/>
    </w:rPr>
  </w:style>
  <w:style w:type="paragraph" w:customStyle="1" w:styleId="TableInnerSideHeading">
    <w:name w:val="Table InnerSideHeading"/>
    <w:basedOn w:val="TableSideHeading"/>
    <w:rsid w:val="00D54250"/>
    <w:pPr>
      <w:outlineLvl w:val="9"/>
    </w:pPr>
  </w:style>
  <w:style w:type="paragraph" w:customStyle="1" w:styleId="Hesber">
    <w:name w:val="Hesber"/>
    <w:basedOn w:val="Normal"/>
    <w:rsid w:val="00D54250"/>
    <w:pPr>
      <w:snapToGrid w:val="0"/>
      <w:ind w:left="0" w:firstLine="340"/>
    </w:pPr>
    <w:rPr>
      <w:rFonts w:ascii="Arial" w:eastAsia="Arial Unicode MS" w:hAnsi="Arial"/>
      <w:snapToGrid w:val="0"/>
      <w:sz w:val="20"/>
      <w:szCs w:val="26"/>
    </w:rPr>
  </w:style>
  <w:style w:type="paragraph" w:styleId="FootnoteText">
    <w:name w:val="footnote text"/>
    <w:basedOn w:val="Normal"/>
    <w:link w:val="FootnoteTextChar"/>
    <w:autoRedefine/>
    <w:uiPriority w:val="99"/>
    <w:semiHidden/>
    <w:rsid w:val="00D54250"/>
    <w:pPr>
      <w:snapToGrid w:val="0"/>
      <w:ind w:left="0"/>
      <w:jc w:val="left"/>
    </w:pPr>
    <w:rPr>
      <w:rFonts w:eastAsia="Arial Unicode MS"/>
      <w:snapToGrid w:val="0"/>
      <w:sz w:val="20"/>
      <w:szCs w:val="20"/>
    </w:rPr>
  </w:style>
  <w:style w:type="character" w:customStyle="1" w:styleId="FootnoteTextChar">
    <w:name w:val="Footnote Text Char"/>
    <w:basedOn w:val="DefaultParagraphFont"/>
    <w:link w:val="FootnoteText"/>
    <w:uiPriority w:val="99"/>
    <w:semiHidden/>
    <w:rsid w:val="00D54250"/>
    <w:rPr>
      <w:rFonts w:ascii="David" w:eastAsia="Arial Unicode MS" w:hAnsi="David" w:cs="David"/>
      <w:snapToGrid w:val="0"/>
      <w:sz w:val="20"/>
      <w:szCs w:val="20"/>
    </w:rPr>
  </w:style>
  <w:style w:type="character" w:styleId="FootnoteReference">
    <w:name w:val="footnote reference"/>
    <w:basedOn w:val="DefaultParagraphFont"/>
    <w:uiPriority w:val="99"/>
    <w:semiHidden/>
    <w:rsid w:val="00D54250"/>
    <w:rPr>
      <w:vertAlign w:val="superscript"/>
    </w:rPr>
  </w:style>
  <w:style w:type="paragraph" w:customStyle="1" w:styleId="HesberHeading">
    <w:name w:val="Hesber Heading"/>
    <w:basedOn w:val="Hesber"/>
    <w:rsid w:val="00D54250"/>
    <w:pPr>
      <w:tabs>
        <w:tab w:val="left" w:pos="624"/>
        <w:tab w:val="left" w:pos="1247"/>
      </w:tabs>
    </w:pPr>
    <w:rPr>
      <w:b/>
      <w:bCs/>
    </w:rPr>
  </w:style>
  <w:style w:type="paragraph" w:customStyle="1" w:styleId="HesberWriters">
    <w:name w:val="Hesber Writers"/>
    <w:basedOn w:val="Hesber"/>
    <w:rsid w:val="00D54250"/>
    <w:pPr>
      <w:spacing w:before="120" w:after="120"/>
      <w:ind w:left="1418"/>
      <w:jc w:val="right"/>
    </w:pPr>
    <w:rPr>
      <w:b/>
      <w:bCs/>
    </w:rPr>
  </w:style>
  <w:style w:type="paragraph" w:customStyle="1" w:styleId="Hesber1st">
    <w:name w:val="Hesber 1st"/>
    <w:basedOn w:val="Hesber"/>
    <w:rsid w:val="00D54250"/>
    <w:pPr>
      <w:tabs>
        <w:tab w:val="left" w:pos="680"/>
        <w:tab w:val="left" w:pos="1020"/>
      </w:tabs>
      <w:ind w:firstLine="0"/>
    </w:pPr>
  </w:style>
  <w:style w:type="character" w:styleId="EndnoteReference">
    <w:name w:val="endnote reference"/>
    <w:basedOn w:val="DefaultParagraphFont"/>
    <w:semiHidden/>
    <w:rsid w:val="00D54250"/>
    <w:rPr>
      <w:vertAlign w:val="superscript"/>
    </w:rPr>
  </w:style>
  <w:style w:type="paragraph" w:customStyle="1" w:styleId="TableBlockOutdent">
    <w:name w:val="Table BlockOutdent"/>
    <w:basedOn w:val="TableBlock"/>
    <w:rsid w:val="00D54250"/>
    <w:pPr>
      <w:ind w:left="624" w:hanging="624"/>
    </w:pPr>
  </w:style>
  <w:style w:type="paragraph" w:styleId="Header">
    <w:name w:val="header"/>
    <w:basedOn w:val="Normal"/>
    <w:link w:val="HeaderChar"/>
    <w:rsid w:val="00D54250"/>
    <w:pPr>
      <w:tabs>
        <w:tab w:val="center" w:pos="4153"/>
        <w:tab w:val="right" w:pos="8306"/>
      </w:tabs>
    </w:pPr>
  </w:style>
  <w:style w:type="character" w:customStyle="1" w:styleId="HeaderChar">
    <w:name w:val="Header Char"/>
    <w:basedOn w:val="DefaultParagraphFont"/>
    <w:link w:val="Header"/>
    <w:rsid w:val="003A35C0"/>
    <w:rPr>
      <w:rFonts w:ascii="David" w:hAnsi="David" w:cs="David"/>
      <w:sz w:val="24"/>
      <w:szCs w:val="24"/>
    </w:rPr>
  </w:style>
  <w:style w:type="paragraph" w:styleId="Footer">
    <w:name w:val="footer"/>
    <w:basedOn w:val="Normal"/>
    <w:link w:val="FooterChar"/>
    <w:rsid w:val="00D54250"/>
    <w:pPr>
      <w:tabs>
        <w:tab w:val="center" w:pos="4153"/>
        <w:tab w:val="right" w:pos="8306"/>
      </w:tabs>
    </w:pPr>
  </w:style>
  <w:style w:type="character" w:customStyle="1" w:styleId="FooterChar">
    <w:name w:val="Footer Char"/>
    <w:basedOn w:val="DefaultParagraphFont"/>
    <w:link w:val="Footer"/>
    <w:rsid w:val="003A35C0"/>
    <w:rPr>
      <w:rFonts w:ascii="David" w:hAnsi="David" w:cs="David"/>
      <w:sz w:val="24"/>
      <w:szCs w:val="24"/>
    </w:rPr>
  </w:style>
  <w:style w:type="character" w:styleId="PageNumber">
    <w:name w:val="page number"/>
    <w:basedOn w:val="DefaultParagraphFont"/>
    <w:rsid w:val="00D54250"/>
  </w:style>
  <w:style w:type="paragraph" w:customStyle="1" w:styleId="Cover1-Reshumot">
    <w:name w:val="Cover 1-Reshumot"/>
    <w:basedOn w:val="Normal"/>
    <w:rsid w:val="00D54250"/>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D54250"/>
    <w:rPr>
      <w:sz w:val="36"/>
      <w:szCs w:val="52"/>
    </w:rPr>
  </w:style>
  <w:style w:type="paragraph" w:customStyle="1" w:styleId="Cover3-Haknesset">
    <w:name w:val="Cover 3-Haknesset"/>
    <w:basedOn w:val="Cover1-Reshumot"/>
    <w:rsid w:val="00D54250"/>
    <w:rPr>
      <w:b/>
      <w:bCs/>
      <w:spacing w:val="60"/>
    </w:rPr>
  </w:style>
  <w:style w:type="paragraph" w:customStyle="1" w:styleId="Cover4-Date">
    <w:name w:val="Cover 4-Date"/>
    <w:basedOn w:val="Normal"/>
    <w:rsid w:val="00D54250"/>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Normal"/>
    <w:rsid w:val="00D54250"/>
    <w:pPr>
      <w:snapToGrid w:val="0"/>
      <w:jc w:val="left"/>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D54250"/>
    <w:pPr>
      <w:widowControl/>
      <w:spacing w:before="120" w:after="120"/>
      <w:outlineLvl w:val="9"/>
    </w:pPr>
    <w:rPr>
      <w:rtl/>
      <w:cs/>
    </w:rPr>
  </w:style>
  <w:style w:type="paragraph" w:styleId="TOC1">
    <w:name w:val="toc 1"/>
    <w:basedOn w:val="Normal"/>
    <w:next w:val="Normal"/>
    <w:autoRedefine/>
    <w:uiPriority w:val="39"/>
    <w:unhideWhenUsed/>
    <w:rsid w:val="00D54250"/>
    <w:pPr>
      <w:tabs>
        <w:tab w:val="right" w:leader="dot" w:pos="9629"/>
      </w:tabs>
      <w:spacing w:after="100"/>
    </w:pPr>
    <w:rPr>
      <w:bCs/>
      <w:szCs w:val="22"/>
    </w:rPr>
  </w:style>
  <w:style w:type="paragraph" w:styleId="TOC2">
    <w:name w:val="toc 2"/>
    <w:basedOn w:val="Normal"/>
    <w:next w:val="Normal"/>
    <w:uiPriority w:val="39"/>
    <w:unhideWhenUsed/>
    <w:rsid w:val="00D54250"/>
    <w:pPr>
      <w:tabs>
        <w:tab w:val="right" w:leader="dot" w:pos="9628"/>
      </w:tabs>
      <w:spacing w:after="100"/>
    </w:pPr>
    <w:rPr>
      <w:szCs w:val="22"/>
    </w:rPr>
  </w:style>
  <w:style w:type="character" w:styleId="Hyperlink">
    <w:name w:val="Hyperlink"/>
    <w:basedOn w:val="DefaultParagraphFont"/>
    <w:uiPriority w:val="99"/>
    <w:unhideWhenUsed/>
    <w:rsid w:val="00D54250"/>
    <w:rPr>
      <w:color w:val="0563C1" w:themeColor="hyperlink"/>
      <w:u w:val="single"/>
    </w:rPr>
  </w:style>
  <w:style w:type="paragraph" w:styleId="TOC3">
    <w:name w:val="toc 3"/>
    <w:basedOn w:val="Normal"/>
    <w:next w:val="Normal"/>
    <w:uiPriority w:val="39"/>
    <w:unhideWhenUsed/>
    <w:rsid w:val="00D54250"/>
    <w:pPr>
      <w:numPr>
        <w:numId w:val="19"/>
      </w:numPr>
      <w:tabs>
        <w:tab w:val="right" w:leader="dot" w:pos="9629"/>
      </w:tabs>
      <w:spacing w:after="100"/>
      <w:ind w:left="811" w:hanging="357"/>
    </w:pPr>
    <w:rPr>
      <w:szCs w:val="22"/>
    </w:rPr>
  </w:style>
  <w:style w:type="paragraph" w:styleId="TOC4">
    <w:name w:val="toc 4"/>
    <w:basedOn w:val="Normal"/>
    <w:next w:val="Normal"/>
    <w:autoRedefine/>
    <w:uiPriority w:val="39"/>
    <w:unhideWhenUsed/>
    <w:qFormat/>
    <w:rsid w:val="00D54250"/>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D54250"/>
    <w:pPr>
      <w:tabs>
        <w:tab w:val="right" w:leader="dot" w:pos="9628"/>
      </w:tabs>
      <w:spacing w:after="100"/>
      <w:ind w:left="567"/>
    </w:pPr>
    <w:rPr>
      <w:szCs w:val="22"/>
    </w:rPr>
  </w:style>
  <w:style w:type="paragraph" w:styleId="TOC6">
    <w:name w:val="toc 6"/>
    <w:basedOn w:val="Normal"/>
    <w:next w:val="Normal"/>
    <w:autoRedefine/>
    <w:semiHidden/>
    <w:unhideWhenUsed/>
    <w:rsid w:val="00D54250"/>
    <w:pPr>
      <w:spacing w:after="100"/>
      <w:ind w:left="850"/>
    </w:pPr>
  </w:style>
  <w:style w:type="paragraph" w:styleId="TOC7">
    <w:name w:val="toc 7"/>
    <w:basedOn w:val="Normal"/>
    <w:next w:val="Normal"/>
    <w:autoRedefine/>
    <w:semiHidden/>
    <w:unhideWhenUsed/>
    <w:rsid w:val="00D54250"/>
    <w:pPr>
      <w:spacing w:after="100"/>
      <w:ind w:left="1020"/>
    </w:pPr>
  </w:style>
  <w:style w:type="paragraph" w:styleId="TOC8">
    <w:name w:val="toc 8"/>
    <w:basedOn w:val="Normal"/>
    <w:next w:val="Normal"/>
    <w:autoRedefine/>
    <w:semiHidden/>
    <w:unhideWhenUsed/>
    <w:rsid w:val="00D54250"/>
    <w:pPr>
      <w:spacing w:after="100"/>
      <w:ind w:left="1190"/>
    </w:pPr>
  </w:style>
  <w:style w:type="paragraph" w:styleId="TOC9">
    <w:name w:val="toc 9"/>
    <w:basedOn w:val="Normal"/>
    <w:next w:val="Normal"/>
    <w:autoRedefine/>
    <w:semiHidden/>
    <w:unhideWhenUsed/>
    <w:rsid w:val="00D54250"/>
    <w:pPr>
      <w:spacing w:after="100"/>
      <w:ind w:left="1360"/>
    </w:pPr>
  </w:style>
  <w:style w:type="paragraph" w:customStyle="1" w:styleId="TableHead2">
    <w:name w:val="Table Head2"/>
    <w:basedOn w:val="TableHead"/>
    <w:qFormat/>
    <w:rsid w:val="00D54250"/>
    <w:pPr>
      <w:outlineLvl w:val="9"/>
    </w:pPr>
  </w:style>
  <w:style w:type="paragraph" w:customStyle="1" w:styleId="TableSideHeading2">
    <w:name w:val="Table SideHeading2"/>
    <w:basedOn w:val="TableSideHeading"/>
    <w:autoRedefine/>
    <w:qFormat/>
    <w:rsid w:val="00D54250"/>
    <w:pPr>
      <w:keepLines w:val="0"/>
      <w:outlineLvl w:val="9"/>
    </w:pPr>
  </w:style>
  <w:style w:type="paragraph" w:customStyle="1" w:styleId="0">
    <w:name w:val="סגנון שורה ראשונה:  0  ס''מ"/>
    <w:basedOn w:val="Heading2"/>
    <w:rsid w:val="00D54250"/>
    <w:rPr>
      <w:rFonts w:eastAsia="Times New Roman"/>
    </w:rPr>
  </w:style>
  <w:style w:type="paragraph" w:styleId="ListParagraph">
    <w:name w:val="List Paragraph"/>
    <w:basedOn w:val="Normal"/>
    <w:uiPriority w:val="34"/>
    <w:qFormat/>
    <w:rsid w:val="00D54250"/>
    <w:pPr>
      <w:widowControl/>
      <w:spacing w:line="259" w:lineRule="auto"/>
    </w:pPr>
    <w:rPr>
      <w:rFonts w:asciiTheme="minorHAnsi" w:hAnsiTheme="minorHAnsi"/>
      <w:sz w:val="22"/>
    </w:rPr>
  </w:style>
  <w:style w:type="table" w:styleId="TableGrid">
    <w:name w:val="Table Grid"/>
    <w:basedOn w:val="TableNormal"/>
    <w:rsid w:val="00D542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D54250"/>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54250"/>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D54250"/>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D54250"/>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styleId="BalloonText">
    <w:name w:val="Balloon Text"/>
    <w:basedOn w:val="Normal"/>
    <w:link w:val="BalloonTextChar"/>
    <w:uiPriority w:val="99"/>
    <w:semiHidden/>
    <w:unhideWhenUsed/>
    <w:rsid w:val="005F05C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5CA"/>
    <w:rPr>
      <w:rFonts w:ascii="Segoe UI" w:hAnsi="Segoe UI" w:cs="Segoe UI"/>
      <w:sz w:val="18"/>
      <w:szCs w:val="18"/>
    </w:rPr>
  </w:style>
  <w:style w:type="character" w:styleId="CommentReference">
    <w:name w:val="annotation reference"/>
    <w:basedOn w:val="DefaultParagraphFont"/>
    <w:uiPriority w:val="99"/>
    <w:semiHidden/>
    <w:unhideWhenUsed/>
    <w:rsid w:val="005F05CA"/>
    <w:rPr>
      <w:sz w:val="16"/>
      <w:szCs w:val="16"/>
    </w:rPr>
  </w:style>
  <w:style w:type="paragraph" w:styleId="CommentText">
    <w:name w:val="annotation text"/>
    <w:basedOn w:val="Normal"/>
    <w:link w:val="CommentTextChar"/>
    <w:uiPriority w:val="99"/>
    <w:semiHidden/>
    <w:unhideWhenUsed/>
    <w:rsid w:val="005F05CA"/>
    <w:pPr>
      <w:spacing w:line="240" w:lineRule="auto"/>
    </w:pPr>
    <w:rPr>
      <w:sz w:val="20"/>
      <w:szCs w:val="20"/>
    </w:rPr>
  </w:style>
  <w:style w:type="character" w:customStyle="1" w:styleId="CommentTextChar">
    <w:name w:val="Comment Text Char"/>
    <w:basedOn w:val="DefaultParagraphFont"/>
    <w:link w:val="CommentText"/>
    <w:uiPriority w:val="99"/>
    <w:semiHidden/>
    <w:rsid w:val="005F05CA"/>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5F05CA"/>
    <w:rPr>
      <w:b/>
      <w:bCs/>
    </w:rPr>
  </w:style>
  <w:style w:type="character" w:customStyle="1" w:styleId="CommentSubjectChar">
    <w:name w:val="Comment Subject Char"/>
    <w:basedOn w:val="CommentTextChar"/>
    <w:link w:val="CommentSubject"/>
    <w:uiPriority w:val="99"/>
    <w:semiHidden/>
    <w:rsid w:val="005F05CA"/>
    <w:rPr>
      <w:rFonts w:ascii="David"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2225D-65F3-459E-9296-1270A3895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1877</Words>
  <Characters>9388</Characters>
  <Application>Microsoft Office Word</Application>
  <DocSecurity>4</DocSecurity>
  <Lines>78</Lines>
  <Paragraphs>22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 Belkin</dc:creator>
  <cp:keywords/>
  <dc:description/>
  <cp:lastModifiedBy>Melita Shafir</cp:lastModifiedBy>
  <cp:revision>2</cp:revision>
  <dcterms:created xsi:type="dcterms:W3CDTF">2021-05-20T09:53:00Z</dcterms:created>
  <dcterms:modified xsi:type="dcterms:W3CDTF">2021-05-20T09:53:00Z</dcterms:modified>
</cp:coreProperties>
</file>